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rsidP="00790D6D">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2914D6" w:rsidRPr="007D3670" w:rsidRDefault="00011212" w:rsidP="00790D6D">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rsidP="00790D6D">
            <w:pPr>
              <w:bidi w:val="0"/>
              <w:rPr>
                <w:rFonts w:ascii="Arial" w:hAnsi="Arial"/>
                <w:b/>
                <w:bCs/>
                <w:noProof w:val="0"/>
                <w:sz w:val="26"/>
                <w:szCs w:val="26"/>
              </w:rPr>
            </w:pPr>
          </w:p>
          <w:sdt>
            <w:sdtPr>
              <w:alias w:val="1180"/>
              <w:tag w:val="1180"/>
              <w:id w:val="-1016538661"/>
              <w:text w:multiLine="1"/>
            </w:sdtPr>
            <w:sdtEndPr/>
            <w:sdtContent>
              <w:p w:rsidR="0080595B" w:rsidRDefault="00F23B68" w:rsidP="00790D6D">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rsidP="00790D6D">
            <w:pPr>
              <w:rPr>
                <w:rFonts w:ascii="Arial" w:hAnsi="Arial"/>
                <w:b/>
                <w:bCs/>
                <w:noProof w:val="0"/>
                <w:sz w:val="26"/>
                <w:szCs w:val="26"/>
              </w:rPr>
            </w:pPr>
          </w:p>
          <w:p w:rsidR="002914D6" w:rsidRPr="00DD0E4B" w:rsidRDefault="00DD0E4B" w:rsidP="00790D6D">
            <w:pPr>
              <w:rPr>
                <w:b/>
                <w:bCs/>
                <w:rtl/>
              </w:rPr>
            </w:pPr>
            <w:r>
              <w:rPr>
                <w:rFonts w:hint="cs"/>
                <w:b/>
                <w:bCs/>
                <w:rtl/>
              </w:rPr>
              <w:t>אלמוני</w:t>
            </w:r>
          </w:p>
          <w:p w:rsidR="007D3670" w:rsidRPr="007D3670" w:rsidRDefault="007D3670" w:rsidP="00790D6D">
            <w:pPr>
              <w:rPr>
                <w:noProof w:val="0"/>
                <w:sz w:val="22"/>
                <w:szCs w:val="22"/>
              </w:rPr>
            </w:pPr>
            <w:r>
              <w:rPr>
                <w:rFonts w:hint="cs"/>
                <w:sz w:val="22"/>
                <w:szCs w:val="22"/>
                <w:rtl/>
              </w:rPr>
              <w:t>ע"י ב"כ עו"ד אושרי פרי</w:t>
            </w:r>
          </w:p>
        </w:tc>
      </w:tr>
      <w:tr w:rsidR="002914D6">
        <w:trPr>
          <w:jc w:val="center"/>
        </w:trPr>
        <w:tc>
          <w:tcPr>
            <w:tcW w:w="8820" w:type="dxa"/>
            <w:gridSpan w:val="3"/>
          </w:tcPr>
          <w:p w:rsidR="002914D6" w:rsidRDefault="002914D6" w:rsidP="00790D6D">
            <w:pPr>
              <w:rPr>
                <w:rFonts w:ascii="Arial" w:hAnsi="Arial"/>
                <w:b/>
                <w:bCs/>
                <w:noProof w:val="0"/>
                <w:sz w:val="26"/>
                <w:szCs w:val="26"/>
                <w:rtl/>
              </w:rPr>
            </w:pPr>
          </w:p>
          <w:p w:rsidR="002914D6" w:rsidRDefault="00011212" w:rsidP="00790D6D">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790D6D">
            <w:pPr>
              <w:rPr>
                <w:rFonts w:ascii="Arial" w:hAnsi="Arial"/>
                <w:b/>
                <w:bCs/>
                <w:noProof w:val="0"/>
                <w:sz w:val="26"/>
                <w:szCs w:val="26"/>
                <w:rtl/>
              </w:rPr>
            </w:pPr>
          </w:p>
          <w:p w:rsidR="002914D6" w:rsidRDefault="00005FCD" w:rsidP="00790D6D">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r w:rsidR="007D3670">
                  <w:rPr>
                    <w:rFonts w:ascii="Arial" w:hAnsi="Arial" w:hint="cs"/>
                    <w:b/>
                    <w:bCs/>
                    <w:noProof w:val="0"/>
                    <w:sz w:val="26"/>
                    <w:szCs w:val="26"/>
                    <w:rtl/>
                  </w:rPr>
                  <w:t>ת</w:t>
                </w:r>
              </w:sdtContent>
            </w:sdt>
          </w:p>
        </w:tc>
        <w:tc>
          <w:tcPr>
            <w:tcW w:w="5571" w:type="dxa"/>
          </w:tcPr>
          <w:p w:rsidR="002914D6" w:rsidRDefault="002914D6" w:rsidP="00790D6D">
            <w:pPr>
              <w:rPr>
                <w:rFonts w:ascii="Arial" w:hAnsi="Arial"/>
                <w:b/>
                <w:bCs/>
                <w:noProof w:val="0"/>
                <w:sz w:val="26"/>
                <w:szCs w:val="26"/>
                <w:rtl/>
              </w:rPr>
            </w:pPr>
          </w:p>
          <w:p w:rsidR="002914D6" w:rsidRPr="00DD0E4B" w:rsidRDefault="00DD0E4B" w:rsidP="00790D6D">
            <w:pPr>
              <w:rPr>
                <w:b/>
                <w:bCs/>
                <w:rtl/>
              </w:rPr>
            </w:pPr>
            <w:r>
              <w:rPr>
                <w:rFonts w:hint="cs"/>
                <w:b/>
                <w:bCs/>
                <w:rtl/>
              </w:rPr>
              <w:t>פלונית</w:t>
            </w:r>
          </w:p>
          <w:p w:rsidR="007D3670" w:rsidRPr="007D3670" w:rsidRDefault="007D3670" w:rsidP="00790D6D">
            <w:pPr>
              <w:rPr>
                <w:noProof w:val="0"/>
                <w:sz w:val="26"/>
                <w:szCs w:val="26"/>
                <w:rtl/>
              </w:rPr>
            </w:pPr>
            <w:r w:rsidRPr="007D3670">
              <w:rPr>
                <w:rFonts w:hint="cs"/>
                <w:sz w:val="22"/>
                <w:szCs w:val="22"/>
                <w:rtl/>
              </w:rPr>
              <w:t>ע"י</w:t>
            </w:r>
            <w:r>
              <w:rPr>
                <w:rFonts w:hint="cs"/>
                <w:sz w:val="22"/>
                <w:szCs w:val="22"/>
                <w:rtl/>
              </w:rPr>
              <w:t xml:space="preserve"> ב"כ עו"ד שירה דרורי סאלם</w:t>
            </w:r>
          </w:p>
        </w:tc>
      </w:tr>
      <w:tr w:rsidR="00F03998" w:rsidTr="00260701">
        <w:trPr>
          <w:jc w:val="center"/>
        </w:trPr>
        <w:tc>
          <w:tcPr>
            <w:tcW w:w="8820" w:type="dxa"/>
            <w:gridSpan w:val="3"/>
          </w:tcPr>
          <w:p w:rsidR="0080595B" w:rsidRDefault="0080595B" w:rsidP="00790D6D">
            <w:pPr>
              <w:rPr>
                <w:b/>
                <w:bCs/>
                <w:sz w:val="26"/>
                <w:szCs w:val="26"/>
                <w:rtl/>
              </w:rPr>
            </w:pPr>
          </w:p>
          <w:p w:rsidR="004579BD" w:rsidRPr="007D3670" w:rsidRDefault="004579BD" w:rsidP="00790D6D">
            <w:pPr>
              <w:rPr>
                <w:b/>
                <w:bCs/>
                <w:sz w:val="26"/>
                <w:szCs w:val="26"/>
              </w:rPr>
            </w:pPr>
          </w:p>
          <w:p w:rsidR="00F03998" w:rsidRDefault="007D3670" w:rsidP="00790D6D">
            <w:pPr>
              <w:rPr>
                <w:rFonts w:ascii="Arial" w:hAnsi="Arial"/>
                <w:b/>
                <w:bCs/>
                <w:noProof w:val="0"/>
                <w:sz w:val="26"/>
                <w:szCs w:val="26"/>
                <w:rtl/>
              </w:rPr>
            </w:pPr>
            <w:r>
              <w:rPr>
                <w:rFonts w:ascii="Arial" w:hAnsi="Arial" w:hint="cs"/>
                <w:b/>
                <w:bCs/>
                <w:noProof w:val="0"/>
                <w:sz w:val="26"/>
                <w:szCs w:val="26"/>
                <w:rtl/>
              </w:rPr>
              <w:t xml:space="preserve">בעניין הקטינות:  </w:t>
            </w:r>
            <w:r w:rsidR="00DD0E4B">
              <w:rPr>
                <w:rFonts w:ascii="Arial" w:hAnsi="Arial" w:hint="cs"/>
                <w:b/>
                <w:bCs/>
                <w:noProof w:val="0"/>
                <w:sz w:val="26"/>
                <w:szCs w:val="26"/>
              </w:rPr>
              <w:t>X</w:t>
            </w:r>
            <w:r>
              <w:rPr>
                <w:rFonts w:ascii="Arial" w:hAnsi="Arial" w:hint="cs"/>
                <w:b/>
                <w:bCs/>
                <w:noProof w:val="0"/>
                <w:sz w:val="26"/>
                <w:szCs w:val="26"/>
                <w:rtl/>
              </w:rPr>
              <w:t xml:space="preserve"> יליד</w:t>
            </w:r>
            <w:r w:rsidR="00071E3D">
              <w:rPr>
                <w:rFonts w:ascii="Arial" w:hAnsi="Arial" w:hint="cs"/>
                <w:b/>
                <w:bCs/>
                <w:noProof w:val="0"/>
                <w:sz w:val="26"/>
                <w:szCs w:val="26"/>
                <w:rtl/>
              </w:rPr>
              <w:t>ת</w:t>
            </w:r>
            <w:r w:rsidR="00790D6D">
              <w:rPr>
                <w:rFonts w:ascii="Arial" w:hAnsi="Arial" w:hint="cs"/>
                <w:b/>
                <w:bCs/>
                <w:noProof w:val="0"/>
                <w:sz w:val="26"/>
                <w:szCs w:val="26"/>
                <w:rtl/>
              </w:rPr>
              <w:t xml:space="preserve"> שנת</w:t>
            </w:r>
            <w:r>
              <w:rPr>
                <w:rFonts w:ascii="Arial" w:hAnsi="Arial" w:hint="cs"/>
                <w:b/>
                <w:bCs/>
                <w:noProof w:val="0"/>
                <w:sz w:val="26"/>
                <w:szCs w:val="26"/>
                <w:rtl/>
              </w:rPr>
              <w:t xml:space="preserve"> 2011;</w:t>
            </w:r>
          </w:p>
          <w:p w:rsidR="007D3670" w:rsidRDefault="007D3670" w:rsidP="00790D6D">
            <w:pPr>
              <w:rPr>
                <w:rFonts w:ascii="Arial" w:hAnsi="Arial"/>
                <w:b/>
                <w:bCs/>
                <w:noProof w:val="0"/>
                <w:sz w:val="26"/>
                <w:szCs w:val="26"/>
                <w:rtl/>
              </w:rPr>
            </w:pPr>
            <w:r>
              <w:rPr>
                <w:rFonts w:ascii="Arial" w:hAnsi="Arial" w:hint="cs"/>
                <w:b/>
                <w:bCs/>
                <w:noProof w:val="0"/>
                <w:sz w:val="26"/>
                <w:szCs w:val="26"/>
                <w:rtl/>
              </w:rPr>
              <w:t xml:space="preserve">                              </w:t>
            </w:r>
            <w:r w:rsidR="00DD0E4B">
              <w:rPr>
                <w:rFonts w:ascii="Arial" w:hAnsi="Arial" w:hint="cs"/>
                <w:b/>
                <w:bCs/>
                <w:noProof w:val="0"/>
                <w:sz w:val="26"/>
                <w:szCs w:val="26"/>
              </w:rPr>
              <w:t>Y</w:t>
            </w:r>
            <w:r>
              <w:rPr>
                <w:rFonts w:ascii="Arial" w:hAnsi="Arial" w:hint="cs"/>
                <w:b/>
                <w:bCs/>
                <w:noProof w:val="0"/>
                <w:sz w:val="26"/>
                <w:szCs w:val="26"/>
                <w:rtl/>
              </w:rPr>
              <w:t xml:space="preserve"> יליד</w:t>
            </w:r>
            <w:r w:rsidR="00071E3D">
              <w:rPr>
                <w:rFonts w:ascii="Arial" w:hAnsi="Arial" w:hint="cs"/>
                <w:b/>
                <w:bCs/>
                <w:noProof w:val="0"/>
                <w:sz w:val="26"/>
                <w:szCs w:val="26"/>
                <w:rtl/>
              </w:rPr>
              <w:t>ת</w:t>
            </w:r>
            <w:r w:rsidR="00790D6D">
              <w:rPr>
                <w:rFonts w:ascii="Arial" w:hAnsi="Arial" w:hint="cs"/>
                <w:b/>
                <w:bCs/>
                <w:noProof w:val="0"/>
                <w:sz w:val="26"/>
                <w:szCs w:val="26"/>
                <w:rtl/>
              </w:rPr>
              <w:t xml:space="preserve"> שנת </w:t>
            </w:r>
            <w:r w:rsidR="00071E3D">
              <w:rPr>
                <w:rFonts w:ascii="Arial" w:hAnsi="Arial" w:hint="cs"/>
                <w:b/>
                <w:bCs/>
                <w:noProof w:val="0"/>
                <w:sz w:val="26"/>
                <w:szCs w:val="26"/>
                <w:rtl/>
              </w:rPr>
              <w:t>2015</w:t>
            </w:r>
            <w:r w:rsidR="00790D6D">
              <w:rPr>
                <w:rFonts w:ascii="Arial" w:hAnsi="Arial" w:hint="cs"/>
                <w:b/>
                <w:bCs/>
                <w:noProof w:val="0"/>
                <w:sz w:val="26"/>
                <w:szCs w:val="26"/>
                <w:rtl/>
              </w:rPr>
              <w:t>.</w:t>
            </w:r>
          </w:p>
        </w:tc>
      </w:tr>
      <w:tr w:rsidR="00F03998">
        <w:trPr>
          <w:jc w:val="center"/>
        </w:trPr>
        <w:tc>
          <w:tcPr>
            <w:tcW w:w="8820" w:type="dxa"/>
            <w:gridSpan w:val="3"/>
          </w:tcPr>
          <w:p w:rsidR="00F03998" w:rsidRDefault="00F03998" w:rsidP="00790D6D">
            <w:pPr>
              <w:bidi w:val="0"/>
              <w:spacing w:line="360" w:lineRule="auto"/>
              <w:jc w:val="center"/>
              <w:rPr>
                <w:rFonts w:ascii="Arial" w:hAnsi="Arial"/>
                <w:b/>
                <w:bCs/>
                <w:noProof w:val="0"/>
                <w:sz w:val="26"/>
                <w:szCs w:val="26"/>
                <w:u w:val="single"/>
              </w:rPr>
            </w:pPr>
          </w:p>
          <w:p w:rsidR="00F03998" w:rsidRDefault="00F03998" w:rsidP="00790D6D">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790D6D">
      <w:pPr>
        <w:spacing w:line="360" w:lineRule="auto"/>
        <w:jc w:val="both"/>
        <w:rPr>
          <w:rFonts w:ascii="Arial" w:hAnsi="Arial"/>
          <w:noProof w:val="0"/>
          <w:rtl/>
        </w:rPr>
      </w:pPr>
    </w:p>
    <w:p w:rsidR="007D3670" w:rsidRDefault="007D3670" w:rsidP="00790D6D">
      <w:pPr>
        <w:spacing w:line="360" w:lineRule="auto"/>
        <w:jc w:val="both"/>
        <w:rPr>
          <w:noProof w:val="0"/>
        </w:rPr>
      </w:pPr>
      <w:r>
        <w:rPr>
          <w:rFonts w:hint="cs"/>
          <w:rtl/>
        </w:rPr>
        <w:t xml:space="preserve">לפני תובענה לצו מניעה קבוע במסגרתה ביקש התובע לאסור על הנתבעת להעתיק את מקום מגורי בנותיהם הקטינות לעיר </w:t>
      </w:r>
      <w:r w:rsidR="00FD1B7C">
        <w:rPr>
          <w:rFonts w:hint="cs"/>
        </w:rPr>
        <w:t>Z</w:t>
      </w:r>
      <w:r>
        <w:rPr>
          <w:rFonts w:hint="cs"/>
          <w:rtl/>
        </w:rPr>
        <w:t xml:space="preserve"> או מחוץ לירושלים.</w:t>
      </w:r>
    </w:p>
    <w:p w:rsidR="007D3670" w:rsidRDefault="007D3670" w:rsidP="00790D6D">
      <w:pPr>
        <w:spacing w:line="360" w:lineRule="auto"/>
        <w:rPr>
          <w:rtl/>
        </w:rPr>
      </w:pPr>
    </w:p>
    <w:p w:rsidR="007D3670" w:rsidRDefault="007D3670" w:rsidP="00790D6D">
      <w:pPr>
        <w:spacing w:line="360" w:lineRule="auto"/>
        <w:rPr>
          <w:rtl/>
        </w:rPr>
      </w:pPr>
      <w:r>
        <w:rPr>
          <w:rFonts w:hint="cs"/>
          <w:b/>
          <w:bCs/>
          <w:u w:val="single"/>
          <w:rtl/>
        </w:rPr>
        <w:t>הרקע הצריך לעניין</w:t>
      </w:r>
      <w:r>
        <w:rPr>
          <w:rFonts w:hint="cs"/>
          <w:rtl/>
        </w:rPr>
        <w:t>:</w:t>
      </w:r>
    </w:p>
    <w:p w:rsidR="007D3670" w:rsidRDefault="007D3670" w:rsidP="00790D6D">
      <w:pPr>
        <w:pStyle w:val="ae"/>
      </w:pPr>
    </w:p>
    <w:p w:rsidR="007D3670" w:rsidRDefault="007D3670" w:rsidP="00790D6D">
      <w:pPr>
        <w:pStyle w:val="ae"/>
        <w:numPr>
          <w:ilvl w:val="0"/>
          <w:numId w:val="1"/>
        </w:numPr>
      </w:pPr>
      <w:r>
        <w:rPr>
          <w:rFonts w:hint="cs"/>
          <w:rtl/>
        </w:rPr>
        <w:t xml:space="preserve">הצדדים הם בני זוג לשעבר שמנישואיהם נולדו להם שתי בנות: </w:t>
      </w:r>
      <w:r w:rsidR="00DD0E4B">
        <w:rPr>
          <w:rFonts w:hint="cs"/>
        </w:rPr>
        <w:t>X</w:t>
      </w:r>
      <w:r>
        <w:rPr>
          <w:rFonts w:hint="cs"/>
          <w:rtl/>
        </w:rPr>
        <w:t xml:space="preserve">, ילידת </w:t>
      </w:r>
      <w:r w:rsidR="00790D6D">
        <w:rPr>
          <w:rFonts w:hint="cs"/>
          <w:rtl/>
        </w:rPr>
        <w:t>שנת 2011</w:t>
      </w:r>
      <w:r>
        <w:rPr>
          <w:rFonts w:hint="cs"/>
          <w:rtl/>
        </w:rPr>
        <w:t xml:space="preserve"> ו</w:t>
      </w:r>
      <w:r w:rsidR="00DD0E4B">
        <w:rPr>
          <w:rFonts w:hint="cs"/>
          <w:rtl/>
        </w:rPr>
        <w:t>-</w:t>
      </w:r>
      <w:r w:rsidR="00DD0E4B">
        <w:rPr>
          <w:rFonts w:hint="cs"/>
        </w:rPr>
        <w:t>Y</w:t>
      </w:r>
      <w:r>
        <w:rPr>
          <w:rFonts w:hint="cs"/>
          <w:rtl/>
        </w:rPr>
        <w:t xml:space="preserve">, ילידת </w:t>
      </w:r>
      <w:r w:rsidR="00790D6D">
        <w:rPr>
          <w:rFonts w:hint="cs"/>
          <w:rtl/>
        </w:rPr>
        <w:t>שנת 2015</w:t>
      </w:r>
      <w:r>
        <w:rPr>
          <w:rFonts w:hint="cs"/>
          <w:rtl/>
        </w:rPr>
        <w:t xml:space="preserve"> (להלן: "</w:t>
      </w:r>
      <w:r>
        <w:rPr>
          <w:rFonts w:hint="cs"/>
          <w:b/>
          <w:bCs/>
          <w:rtl/>
        </w:rPr>
        <w:t>הבנות</w:t>
      </w:r>
      <w:r>
        <w:rPr>
          <w:rFonts w:hint="cs"/>
          <w:rtl/>
        </w:rPr>
        <w:t>" או "</w:t>
      </w:r>
      <w:r>
        <w:rPr>
          <w:rFonts w:hint="cs"/>
          <w:b/>
          <w:bCs/>
          <w:rtl/>
        </w:rPr>
        <w:t>הקטינות</w:t>
      </w:r>
      <w:r>
        <w:rPr>
          <w:rFonts w:hint="cs"/>
          <w:rtl/>
        </w:rPr>
        <w:t xml:space="preserve">"). </w:t>
      </w:r>
    </w:p>
    <w:p w:rsidR="007D3670" w:rsidRDefault="007D3670" w:rsidP="00790D6D">
      <w:pPr>
        <w:pStyle w:val="ae"/>
      </w:pPr>
    </w:p>
    <w:p w:rsidR="007D3670" w:rsidRDefault="007D3670" w:rsidP="00790D6D">
      <w:pPr>
        <w:pStyle w:val="ae"/>
        <w:numPr>
          <w:ilvl w:val="0"/>
          <w:numId w:val="1"/>
        </w:numPr>
      </w:pPr>
      <w:r>
        <w:rPr>
          <w:rFonts w:hint="cs"/>
          <w:rtl/>
        </w:rPr>
        <w:t>ביום 25.9.17 אושר וניתן תוקף של פסק דין להסכם גירושין שערכו הצדדים במסגרתו הסכימו בין היתר שהמשמורת על הקטינות תקבע בידי הנתבעת ועל חלוקת זמני השהות שלהן ביניהם (להלן: "</w:t>
      </w:r>
      <w:r>
        <w:rPr>
          <w:rFonts w:hint="cs"/>
          <w:b/>
          <w:bCs/>
          <w:rtl/>
        </w:rPr>
        <w:t>ההסכם</w:t>
      </w:r>
      <w:r>
        <w:rPr>
          <w:rFonts w:hint="cs"/>
          <w:rtl/>
        </w:rPr>
        <w:t>"). אותה עת התגורר התובע בבית הוריו (סעיף 5 להסכם) והוסכם שהקטינות ישהו עמו בכל יום שלישי ללא לינה ובכל סוף שבוע שני ללא לינה במוצאי שבת. קרי, לילה אחד מתוך 14 במחזוריות של שבועיים. כן הוסכם שבתוך 3 חודשים מעת שיעבור לגור בנפרד ישהו עמו הקטינות גם במוצאי שבת בסוף השבוע שבו הן עמו, ושבתוך 3 חודשים לאחר מכן ילונו אצלו בימי שלישי. קרי, הרחבה שתתבצע בתוך 6 חודשים מעת שיעבור להתגורר בגפו ובסופה ישהו עמו הקטינות ארבעה לילות מתוך 14 במחזוריות של שבועיים (פרק ה סעיף 1 להסכם).</w:t>
      </w:r>
    </w:p>
    <w:p w:rsidR="007D3670" w:rsidRDefault="007D3670" w:rsidP="00790D6D">
      <w:pPr>
        <w:pStyle w:val="ae"/>
      </w:pPr>
    </w:p>
    <w:p w:rsidR="007D3670" w:rsidRDefault="007D3670" w:rsidP="00790D6D">
      <w:pPr>
        <w:pStyle w:val="ae"/>
        <w:numPr>
          <w:ilvl w:val="0"/>
          <w:numId w:val="1"/>
        </w:numPr>
      </w:pPr>
      <w:r>
        <w:rPr>
          <w:rFonts w:hint="cs"/>
          <w:rtl/>
        </w:rPr>
        <w:t>בסעיפים 1, 3 ו- 4 להסכם הסכימו הצדדים ש"</w:t>
      </w:r>
      <w:r>
        <w:rPr>
          <w:rFonts w:hint="cs"/>
          <w:b/>
          <w:bCs/>
          <w:rtl/>
        </w:rPr>
        <w:t>כל דבר מרכזי וחשוב הקשור לקטינות יתואם בין הצדדים</w:t>
      </w:r>
      <w:r>
        <w:rPr>
          <w:rFonts w:hint="cs"/>
          <w:rtl/>
        </w:rPr>
        <w:t>", ושינוי מסגרת חינוכן ממלכתי דתי תעשה רק בהסכמה משותפת, וכי "</w:t>
      </w:r>
      <w:r>
        <w:rPr>
          <w:rFonts w:hint="cs"/>
          <w:b/>
          <w:bCs/>
          <w:rtl/>
        </w:rPr>
        <w:t>אם מדובר בעניין החורג מהשגרה יחתום ההורה הרלוונטי רק לאחר הסכמת ההורה האחר</w:t>
      </w:r>
      <w:r>
        <w:rPr>
          <w:rFonts w:hint="cs"/>
          <w:rtl/>
        </w:rPr>
        <w:t xml:space="preserve">". </w:t>
      </w:r>
    </w:p>
    <w:p w:rsidR="007D3670" w:rsidRDefault="007D3670" w:rsidP="00790D6D">
      <w:pPr>
        <w:pStyle w:val="ae"/>
        <w:rPr>
          <w:rtl/>
        </w:rPr>
      </w:pPr>
    </w:p>
    <w:p w:rsidR="007D3670" w:rsidRDefault="007D3670" w:rsidP="00790D6D">
      <w:pPr>
        <w:pStyle w:val="ae"/>
        <w:rPr>
          <w:rtl/>
        </w:rPr>
      </w:pPr>
      <w:r>
        <w:rPr>
          <w:rFonts w:hint="cs"/>
          <w:rtl/>
        </w:rPr>
        <w:lastRenderedPageBreak/>
        <w:t>עם זאת, בסעיף 10(א) להסכם נקבע: "</w:t>
      </w:r>
      <w:r>
        <w:rPr>
          <w:rFonts w:hint="cs"/>
          <w:b/>
          <w:bCs/>
          <w:rtl/>
        </w:rPr>
        <w:t>הצדדים מסכימים כי לטובת הילדות הם יתגוררו בעיר ירושלים, ואולם אם יחליט אחד הצדדים על שינוי מקום מגוריו אזי מקום מגוריו החדש יהיה במרחק של עד 40 ק"מ מירושלים וזאת עד הגיע הילדות לגיל 18. שינוי מקום המגורים בתנאים אלה יבוצע בהתראה מראש של לפחות שבועיים מראש ובהתחשבות בהורה השני, אך לא יהיה טעון את אישורו</w:t>
      </w:r>
      <w:r>
        <w:rPr>
          <w:rFonts w:hint="cs"/>
          <w:rtl/>
        </w:rPr>
        <w:t>". בפרוטוקול הדיון שקדם לאישור ההסכם הבהירו הצדדים ביחס לסעיף זה: "</w:t>
      </w:r>
      <w:r>
        <w:rPr>
          <w:rFonts w:hint="cs"/>
          <w:b/>
          <w:bCs/>
          <w:rtl/>
        </w:rPr>
        <w:t>אשר לסעיף 10א' מוסכם כי הכוונה היא לעיר ירושלים</w:t>
      </w:r>
      <w:r>
        <w:rPr>
          <w:rFonts w:hint="cs"/>
          <w:rtl/>
        </w:rPr>
        <w:t>".</w:t>
      </w:r>
    </w:p>
    <w:p w:rsidR="007D3670" w:rsidRDefault="007D3670" w:rsidP="00790D6D">
      <w:pPr>
        <w:pStyle w:val="ae"/>
      </w:pPr>
    </w:p>
    <w:p w:rsidR="007D3670" w:rsidRDefault="007D3670" w:rsidP="00790D6D">
      <w:pPr>
        <w:pStyle w:val="ae"/>
        <w:numPr>
          <w:ilvl w:val="0"/>
          <w:numId w:val="1"/>
        </w:numPr>
        <w:rPr>
          <w:rtl/>
        </w:rPr>
      </w:pPr>
      <w:r>
        <w:rPr>
          <w:rFonts w:hint="cs"/>
          <w:rtl/>
        </w:rPr>
        <w:t xml:space="preserve">בשלהי שנת 2018 שכר התובע דירה למגוריו בסמוך למקום מגורי הנתבעת והקטינות. עם זאת, התנגדה הנתבעת להרחבת זמני השהות של הקטינות עמו כפי שהוסכם בהסכם ועוד קודם לכן עתרה בבקשה לצו הגנה (ה"ט 8557-10-18) במסגרתה ביקשה למנוע מהתובע לפגוש את הקטינות (פרוטוקול הדיון במעמד צד אחד מיום 4.10.18). בדיון במעמד שני הצדדים (ביום 16.10.18) עלה שכבר בחודש אוגוסט אותה שנה (2018) התגלעו ביניהם מחלוקות בנוגע למימוש חלוקת זמני השהות שנקבעה בהסכם, ובסופו ניתן פסק דין על יסוד הסכמת הצדדים שהבקשה תמחק, חלוקת זמני השהות תתבצע כקבוע בהסכם ושהצדדים יפנו לטיפול משפחתי אצל ד"ר </w:t>
      </w:r>
      <w:r w:rsidR="00DD0E4B">
        <w:rPr>
          <w:rFonts w:hint="cs"/>
        </w:rPr>
        <w:t>Q</w:t>
      </w:r>
      <w:r>
        <w:rPr>
          <w:rFonts w:hint="cs"/>
          <w:rtl/>
        </w:rPr>
        <w:t>.</w:t>
      </w:r>
    </w:p>
    <w:p w:rsidR="007D3670" w:rsidRDefault="007D3670" w:rsidP="00790D6D">
      <w:pPr>
        <w:pStyle w:val="ae"/>
      </w:pPr>
    </w:p>
    <w:p w:rsidR="004E1FC2" w:rsidRDefault="007D3670" w:rsidP="00790D6D">
      <w:pPr>
        <w:pStyle w:val="ae"/>
        <w:numPr>
          <w:ilvl w:val="0"/>
          <w:numId w:val="1"/>
        </w:numPr>
      </w:pPr>
      <w:r>
        <w:rPr>
          <w:rFonts w:hint="cs"/>
          <w:rtl/>
        </w:rPr>
        <w:t xml:space="preserve">ביום 10.7.19 עתרה הנתבעת בתובענה לשינוי הסדרי השהות הקבועים בהסכם וביקשה למנות את ד"ר </w:t>
      </w:r>
      <w:r w:rsidR="00DD0E4B">
        <w:t>Q</w:t>
      </w:r>
      <w:r>
        <w:rPr>
          <w:rFonts w:hint="cs"/>
          <w:rtl/>
        </w:rPr>
        <w:t xml:space="preserve"> כמומחה בית המשפט לצורך המלצה על זמני השהות של הקטינות עם  התובע לפי טובתן (תלה"מ 25432-07-19). התובע (הנתבע באותה תביעה) טען לדחייתה ושהיא מהווה נדבך נוסף בניסיונות הנתבעת למנוע את שהות הקטינות עמו כקבוע בהסכם. בהחלטה מיום 13.11.19 נקבע על יסוד הסכמת הצדדים שהם ימשיכו בהליך הטיפולי אצל ד"ר </w:t>
      </w:r>
      <w:r w:rsidR="00DD0E4B">
        <w:t xml:space="preserve"> Q</w:t>
      </w:r>
      <w:r>
        <w:rPr>
          <w:rFonts w:hint="cs"/>
          <w:rtl/>
        </w:rPr>
        <w:t xml:space="preserve">אשר גם ימליץ על חלוקת זמני השהות של הקטינות ביניהם. </w:t>
      </w:r>
    </w:p>
    <w:p w:rsidR="007D3670" w:rsidRDefault="007D3670" w:rsidP="00790D6D">
      <w:pPr>
        <w:pStyle w:val="ae"/>
        <w:rPr>
          <w:rtl/>
        </w:rPr>
      </w:pPr>
      <w:r>
        <w:rPr>
          <w:rFonts w:hint="cs"/>
          <w:rtl/>
        </w:rPr>
        <w:t xml:space="preserve">במהלך תקופת הטיפול אצל ד"ר </w:t>
      </w:r>
      <w:r w:rsidR="00DD0E4B">
        <w:t>Q</w:t>
      </w:r>
      <w:r>
        <w:rPr>
          <w:rFonts w:hint="cs"/>
          <w:rtl/>
        </w:rPr>
        <w:t xml:space="preserve"> ועל יסוד המלצותיו הורחבו </w:t>
      </w:r>
      <w:r w:rsidR="00497297">
        <w:rPr>
          <w:rFonts w:hint="cs"/>
          <w:rtl/>
        </w:rPr>
        <w:t xml:space="preserve">מעת לעת </w:t>
      </w:r>
      <w:r>
        <w:rPr>
          <w:rFonts w:hint="cs"/>
          <w:rtl/>
        </w:rPr>
        <w:t>זמני השהות של הקטינות עם התובע</w:t>
      </w:r>
      <w:r w:rsidR="00497297">
        <w:rPr>
          <w:rFonts w:hint="cs"/>
          <w:rtl/>
        </w:rPr>
        <w:t>, עד שהתקיימו הלכה למעשה בחלוקה של 5 לילות</w:t>
      </w:r>
      <w:r w:rsidR="004E1FC2">
        <w:rPr>
          <w:rFonts w:hint="cs"/>
          <w:rtl/>
        </w:rPr>
        <w:t xml:space="preserve"> מתוך 14. </w:t>
      </w:r>
      <w:r>
        <w:rPr>
          <w:rFonts w:hint="cs"/>
          <w:rtl/>
        </w:rPr>
        <w:t xml:space="preserve">ד"ר </w:t>
      </w:r>
      <w:r w:rsidR="00DD0E4B">
        <w:t>Q</w:t>
      </w:r>
      <w:r>
        <w:rPr>
          <w:rFonts w:hint="cs"/>
          <w:rtl/>
        </w:rPr>
        <w:t xml:space="preserve"> המליץ על הרחבה נוספת בזמני השהות אך הנתבעת התנגדה לכך</w:t>
      </w:r>
      <w:r w:rsidR="004E1FC2">
        <w:rPr>
          <w:rFonts w:hint="cs"/>
          <w:rtl/>
        </w:rPr>
        <w:t xml:space="preserve"> ואף התנגדה למתן תוקף מחייב לחלוקת זמני השהות שהתקיימה למעשה</w:t>
      </w:r>
      <w:r>
        <w:rPr>
          <w:rFonts w:hint="cs"/>
          <w:rtl/>
        </w:rPr>
        <w:t xml:space="preserve">. הטיפול אצל ד"ר </w:t>
      </w:r>
      <w:r w:rsidR="00DD0E4B">
        <w:t>Q</w:t>
      </w:r>
      <w:r>
        <w:rPr>
          <w:rFonts w:hint="cs"/>
          <w:rtl/>
        </w:rPr>
        <w:t xml:space="preserve"> הופסק בעקבות דרישת התובע, ובהחלטה מיום 10.9.20 הופנו הצדדים לתיאום הורי במחלקת מעברים, ונקבע שבתוך 30 יום לאחר התחלת התיאום ההורי ישהו </w:t>
      </w:r>
      <w:r w:rsidR="004E1FC2">
        <w:rPr>
          <w:rFonts w:hint="cs"/>
          <w:rtl/>
        </w:rPr>
        <w:t xml:space="preserve">הקטינות </w:t>
      </w:r>
      <w:r>
        <w:rPr>
          <w:rFonts w:hint="cs"/>
          <w:rtl/>
        </w:rPr>
        <w:t xml:space="preserve">עם התובע פעמיים בשבוע כולל לינה וכן בכל סוף שבוע שני כולל לינה במוצ"ש. לפי הדיווח שהתקבל ביום 22.11.22 החל התיאום ההורי בחודש 7/22. למצער מאז שוהות הקטינות עם התובע פעמיים באמצע שבוע כולל לינה, וכן בכל סוף שבוע שני, כולל לינה במוצאי שבת. קרי, 6 לילות במחזוריות של 14. </w:t>
      </w:r>
    </w:p>
    <w:p w:rsidR="007D3670" w:rsidRDefault="007D3670" w:rsidP="00790D6D">
      <w:pPr>
        <w:pStyle w:val="ae"/>
        <w:rPr>
          <w:rtl/>
        </w:rPr>
      </w:pPr>
    </w:p>
    <w:p w:rsidR="007D3670" w:rsidRDefault="007D3670" w:rsidP="00790D6D">
      <w:pPr>
        <w:pStyle w:val="ae"/>
        <w:rPr>
          <w:rtl/>
        </w:rPr>
      </w:pPr>
    </w:p>
    <w:p w:rsidR="007D3670" w:rsidRDefault="007D3670" w:rsidP="00790D6D">
      <w:pPr>
        <w:pStyle w:val="ae"/>
      </w:pPr>
    </w:p>
    <w:p w:rsidR="007D3670" w:rsidRDefault="007D3670" w:rsidP="00790D6D">
      <w:pPr>
        <w:pStyle w:val="ae"/>
        <w:numPr>
          <w:ilvl w:val="0"/>
          <w:numId w:val="1"/>
        </w:numPr>
        <w:rPr>
          <w:rtl/>
        </w:rPr>
      </w:pPr>
      <w:r>
        <w:rPr>
          <w:rFonts w:hint="cs"/>
          <w:rtl/>
        </w:rPr>
        <w:lastRenderedPageBreak/>
        <w:t xml:space="preserve">שני הצדדים מתגוררים באותה שכונה בירושלים במרחק של מאות מטרים זו מזה. הקטינות לומדות במסגרות חינוכיות סמוכות למקום מגורי הצדדים, ומשתתפות בתנועת נוער ובחוגים בסמוך למקום מגוריהן ושם גם מצויים חיי החברה שלהן. שני הצדדים מעורבים מאוד בחיי הקטינות, במסגרת בתי הספר, בתחביבים שלהן, </w:t>
      </w:r>
      <w:r w:rsidR="004E1FC2">
        <w:rPr>
          <w:rFonts w:hint="cs"/>
          <w:rtl/>
        </w:rPr>
        <w:t>ב</w:t>
      </w:r>
      <w:r>
        <w:rPr>
          <w:rFonts w:hint="cs"/>
          <w:rtl/>
        </w:rPr>
        <w:t>חוגים ו</w:t>
      </w:r>
      <w:r w:rsidR="004E1FC2">
        <w:rPr>
          <w:rFonts w:hint="cs"/>
          <w:rtl/>
        </w:rPr>
        <w:t>ב</w:t>
      </w:r>
      <w:r>
        <w:rPr>
          <w:rFonts w:hint="cs"/>
          <w:rtl/>
        </w:rPr>
        <w:t>חיי החברה.</w:t>
      </w:r>
    </w:p>
    <w:p w:rsidR="007D3670" w:rsidRDefault="007D3670" w:rsidP="00790D6D">
      <w:pPr>
        <w:pStyle w:val="ae"/>
      </w:pPr>
    </w:p>
    <w:p w:rsidR="007D3670" w:rsidRDefault="007D3670" w:rsidP="00790D6D">
      <w:pPr>
        <w:pStyle w:val="ae"/>
        <w:numPr>
          <w:ilvl w:val="0"/>
          <w:numId w:val="1"/>
        </w:numPr>
      </w:pPr>
      <w:r>
        <w:rPr>
          <w:rFonts w:hint="cs"/>
          <w:rtl/>
        </w:rPr>
        <w:t xml:space="preserve">ביום 9.6.23 הודיעה הנתבעת לתובע שהיא הרה ושבכוונתה לעבור להתגורר עם הקטינות בבית בן זוגה (לו נישאה מאז) בעיר </w:t>
      </w:r>
      <w:r w:rsidR="00DD0E4B">
        <w:rPr>
          <w:rFonts w:hint="cs"/>
        </w:rPr>
        <w:t>Z</w:t>
      </w:r>
      <w:r>
        <w:rPr>
          <w:rFonts w:hint="cs"/>
          <w:rtl/>
        </w:rPr>
        <w:t>. במסגרת הליך י"ס התקבלה ביום 31.7.23 בקשת התובע למנוע את מעבר הקטינות (י"ס 7222-07-23). ערעור שהגישה הנתבעת על ההחלטה התקבל בפסק דין מיום 8.2.24 במובן זה שצו המניעה שניתן "יהפוך לארעי ותוקפו מותנה בהגשת הליך עיקרי" (עמ"ש 17694-08-23). בעקבות פסק דין זה עתר התובע ביום 19.2.24 בתובענה דכאן. בהחלטה מיום 27.3.24 התקבלה בקשת התובע למתן צו מניעה זמני ובה פורטו, בין היתר, הנימוקים למסקנה שיש לבחון את טובת הקטינות במעבר המבוקש בעזרת תסקיר עו"ס לסדרי דין (שהוזמן מיד עם הגשת התובענה; ולהלן: "</w:t>
      </w:r>
      <w:r>
        <w:rPr>
          <w:rFonts w:hint="cs"/>
          <w:b/>
          <w:bCs/>
          <w:rtl/>
        </w:rPr>
        <w:t>ההחלטה</w:t>
      </w:r>
      <w:r>
        <w:rPr>
          <w:rFonts w:hint="cs"/>
          <w:rtl/>
        </w:rPr>
        <w:t>"). בר"ע שהגישה הנתבעת על ההחלטה נדחתה בהחלטה מיום 30.4.24 (רמ"ש 45072-04-24).</w:t>
      </w:r>
    </w:p>
    <w:p w:rsidR="007D3670" w:rsidRDefault="007D3670" w:rsidP="00790D6D">
      <w:pPr>
        <w:pStyle w:val="ae"/>
      </w:pPr>
    </w:p>
    <w:p w:rsidR="007D3670" w:rsidRDefault="007D3670" w:rsidP="00790D6D">
      <w:pPr>
        <w:pStyle w:val="ae"/>
        <w:numPr>
          <w:ilvl w:val="0"/>
          <w:numId w:val="1"/>
        </w:numPr>
      </w:pPr>
      <w:r>
        <w:rPr>
          <w:rFonts w:hint="cs"/>
          <w:rtl/>
        </w:rPr>
        <w:t>בתסקיר מיום 15.8.24 המליצה העו"ס לסדרי דין שהקטינות ימשיכו להתגורר בירושלים שכן "</w:t>
      </w:r>
      <w:r>
        <w:rPr>
          <w:rFonts w:hint="cs"/>
          <w:b/>
          <w:bCs/>
          <w:rtl/>
        </w:rPr>
        <w:t>נראה כי מעבר של האם והבנות ל</w:t>
      </w:r>
      <w:r w:rsidR="00DD0E4B">
        <w:rPr>
          <w:rFonts w:hint="cs"/>
          <w:b/>
          <w:bCs/>
          <w:rtl/>
        </w:rPr>
        <w:t>-</w:t>
      </w:r>
      <w:r w:rsidR="00DD0E4B">
        <w:rPr>
          <w:rFonts w:hint="cs"/>
          <w:b/>
          <w:bCs/>
        </w:rPr>
        <w:t>Z</w:t>
      </w:r>
      <w:r>
        <w:rPr>
          <w:rFonts w:hint="cs"/>
          <w:b/>
          <w:bCs/>
          <w:rtl/>
        </w:rPr>
        <w:t xml:space="preserve"> יערער את תחושת היציבות והביטחון של הבנות, כאשר הן תתרחקנה פיזית מהמסגרות החינוכיות שלהן, מתנועת הנוער ובכלל זה מפעילויותיה המתקיימות בימים שלישי ושבת, מהחוגים ומהחברות הטובות המתגוררות בסמיכות למקום מגוריהן כיום. בנוסף, קיים חשש כי בטווח הרחוק המעבר ישפיע על הקשר של הבנות עם האב לאחר שהוא ירחיק אותן באופן פיזי ממקום מגוריו</w:t>
      </w:r>
      <w:r>
        <w:rPr>
          <w:rFonts w:hint="cs"/>
          <w:rtl/>
        </w:rPr>
        <w:t>". כן המליצה העו"ס לשלב את הקטינות בטיפול רגשי "</w:t>
      </w:r>
      <w:r>
        <w:rPr>
          <w:rFonts w:hint="cs"/>
          <w:b/>
          <w:bCs/>
          <w:rtl/>
        </w:rPr>
        <w:t>כדי לאפשר להן לעבד את חוויותיהם בצל הקונפליקט בין ההורים ובמנותק ממנו</w:t>
      </w:r>
      <w:r>
        <w:rPr>
          <w:rFonts w:hint="cs"/>
          <w:rtl/>
        </w:rPr>
        <w:t xml:space="preserve">" (עמ' 13). הנתבעת לא השלימה עם המלצות העו"ס וביום 14.10.24 התקיים לפני דיון בו נחקרה העו"ס באריכות על תסקירה. </w:t>
      </w:r>
    </w:p>
    <w:p w:rsidR="007D3670" w:rsidRDefault="007D3670" w:rsidP="00790D6D">
      <w:pPr>
        <w:pStyle w:val="ae"/>
      </w:pPr>
    </w:p>
    <w:p w:rsidR="007D3670" w:rsidRDefault="007D3670" w:rsidP="00790D6D">
      <w:pPr>
        <w:pStyle w:val="ae"/>
        <w:numPr>
          <w:ilvl w:val="0"/>
          <w:numId w:val="1"/>
        </w:numPr>
      </w:pPr>
      <w:r>
        <w:rPr>
          <w:rFonts w:hint="cs"/>
          <w:rtl/>
        </w:rPr>
        <w:t xml:space="preserve">טרם נכנס לעובייה של קורה ולאור נסיבות העניין נפרט את מצב הדברים כיום. תחילה הודיעה הנתבעת על החלטתה לעבור להתגורר בעיר </w:t>
      </w:r>
      <w:r w:rsidR="00DD0E4B">
        <w:rPr>
          <w:rFonts w:hint="cs"/>
        </w:rPr>
        <w:t>Z</w:t>
      </w:r>
      <w:r>
        <w:rPr>
          <w:rFonts w:hint="cs"/>
          <w:rtl/>
        </w:rPr>
        <w:t xml:space="preserve"> עם הקטינות לאחר שהרתה מבן זוגה. למרבה הצער אותו הריון לא התפתח, אך לאחר מכן הרתה שוב ומאז גם נישאה לבן זוגה ונולדה להם בת משותפת. הנתבעת מחלקת למעשה את זמנה בין בית בעלה ב</w:t>
      </w:r>
      <w:r w:rsidR="00DD0E4B">
        <w:rPr>
          <w:rFonts w:hint="cs"/>
          <w:rtl/>
        </w:rPr>
        <w:t>-</w:t>
      </w:r>
      <w:r w:rsidR="00DD0E4B">
        <w:rPr>
          <w:rFonts w:hint="cs"/>
        </w:rPr>
        <w:t>Z</w:t>
      </w:r>
      <w:r w:rsidR="00DD0E4B">
        <w:rPr>
          <w:rFonts w:hint="cs"/>
          <w:rtl/>
        </w:rPr>
        <w:t xml:space="preserve"> </w:t>
      </w:r>
      <w:r>
        <w:rPr>
          <w:rFonts w:hint="cs"/>
          <w:rtl/>
        </w:rPr>
        <w:t>לבין דירתה בירושלים, בה היא שוהה עם הקטינות (ובתה התינוקת) בימים שהן עמה. כמו כן, בסופי שבוע, בחגים ובחופשות כשהקטינות עמה הן שוהות יחד ב</w:t>
      </w:r>
      <w:r w:rsidR="00DD0E4B">
        <w:rPr>
          <w:rFonts w:hint="cs"/>
          <w:rtl/>
        </w:rPr>
        <w:t>-</w:t>
      </w:r>
      <w:r w:rsidR="00DD0E4B">
        <w:rPr>
          <w:rFonts w:hint="cs"/>
        </w:rPr>
        <w:t>Z</w:t>
      </w:r>
      <w:r>
        <w:rPr>
          <w:rFonts w:hint="cs"/>
          <w:rtl/>
        </w:rPr>
        <w:t>. לבעלה הנוכחי של הנתבעת בנות מנישואיו הקודמים, השוהות עמו מחצית מזמנן, ובינן לבין הקטינות נרקם קשר חברי.</w:t>
      </w:r>
    </w:p>
    <w:p w:rsidR="007D3670" w:rsidRDefault="007D3670" w:rsidP="00790D6D">
      <w:pPr>
        <w:pStyle w:val="ae"/>
        <w:rPr>
          <w:rtl/>
        </w:rPr>
      </w:pPr>
    </w:p>
    <w:p w:rsidR="007D3670" w:rsidRDefault="007D3670" w:rsidP="00790D6D">
      <w:pPr>
        <w:pStyle w:val="ae"/>
        <w:rPr>
          <w:rtl/>
        </w:rPr>
      </w:pPr>
    </w:p>
    <w:p w:rsidR="007D3670" w:rsidRDefault="007D3670" w:rsidP="00790D6D">
      <w:pPr>
        <w:pStyle w:val="ae"/>
      </w:pPr>
      <w:r>
        <w:rPr>
          <w:rFonts w:hint="cs"/>
          <w:rtl/>
        </w:rPr>
        <w:lastRenderedPageBreak/>
        <w:t>בנסיבות אלו עשה בית המשפט מאמצים ממושכים לסייע לצדדים להגיע להסכמה לטובת בנותיהם הקטינות, אשר נפגעות מעצם ההליכים המתנהלים משך השנים בין הצדדים בעניינן, ועוד יותר בשל חוסר הוודאות במקום מגוריהן עם אמן בעקבות הסכסוך דכאן (סעיף 4 בעמ' 3 לתסקיר). למרבה הצער כל הניסיונות לא עלו יפה, ולאחר שהצדדים סיכמו את טענותיהם בכתב בשלה העת להכרעה.</w:t>
      </w:r>
    </w:p>
    <w:p w:rsidR="007D3670" w:rsidRDefault="007D3670" w:rsidP="00790D6D">
      <w:pPr>
        <w:spacing w:line="360" w:lineRule="auto"/>
        <w:ind w:left="360"/>
      </w:pPr>
    </w:p>
    <w:p w:rsidR="007D3670" w:rsidRDefault="007D3670" w:rsidP="00790D6D">
      <w:pPr>
        <w:spacing w:line="360" w:lineRule="auto"/>
        <w:ind w:left="360"/>
        <w:rPr>
          <w:rtl/>
        </w:rPr>
      </w:pPr>
      <w:r>
        <w:rPr>
          <w:rFonts w:hint="cs"/>
          <w:b/>
          <w:bCs/>
          <w:u w:val="single"/>
          <w:rtl/>
        </w:rPr>
        <w:t>תמצית טענות הצדדים</w:t>
      </w:r>
      <w:r>
        <w:rPr>
          <w:rFonts w:hint="cs"/>
          <w:rtl/>
        </w:rPr>
        <w:t>:</w:t>
      </w:r>
    </w:p>
    <w:p w:rsidR="007D3670" w:rsidRDefault="007D3670" w:rsidP="00790D6D">
      <w:pPr>
        <w:spacing w:line="360" w:lineRule="auto"/>
        <w:ind w:left="360"/>
        <w:rPr>
          <w:rtl/>
        </w:rPr>
      </w:pPr>
    </w:p>
    <w:p w:rsidR="007D3670" w:rsidRDefault="007D3670" w:rsidP="00790D6D">
      <w:pPr>
        <w:pStyle w:val="ae"/>
        <w:numPr>
          <w:ilvl w:val="0"/>
          <w:numId w:val="1"/>
        </w:numPr>
      </w:pPr>
      <w:r>
        <w:rPr>
          <w:rFonts w:hint="cs"/>
          <w:rtl/>
        </w:rPr>
        <w:t>לטענת התובע יש לפרש את ההוראה בהסכם כמאפשרת העתקת מקום מגורי הקטינות בעיר ירושלים בלבד, פרשנות המתיישבת עם ההסכמה שטובת הקטינות לגור בעיר ירושלים וכן עם הבהרת הצדדים בפרוטוקול הדיון ועם יתר הוראות ההסכם. כן לדבריו יש לבחון את טובת הקטינות במנותק מההסכם לאור שינוי הנסיבות המהותי שחל בחלוקת זמני השהות שלהן עמו, כאשר במועד ההסכם שהו עמו לילה במחזוריות של שבועיים וכיום הן מחלקות את זמנן באופן שווה בין הצדדים, ולאור מצבן הרגשי של הקטינות והקושי שלהן להסתגל לשינויים, וכן לאור שורת הדין לפיה שאלה הנוגעת לקטינים תוכרע בהתאם לטובתם. לטענתו לקטינות קושי לבצע את המעבר וכל שינוי מערער את מצבן, והתרת המעבר עלולה לגרום לפגיעה בקשר שלהן עמו. כמו כן טובתן אינה בהתרת המעבר כפי שעולה מהמלצת העו"ס. לפיכך לדבריו בין אם נבחן את הסוגיה לפי גישת המעשה העשוי, ובין אם נבחן את הסוגיה לפי טובת הקטינות טרם המעבר תהא המסקנה זהה לקבלת התביעה.</w:t>
      </w:r>
    </w:p>
    <w:p w:rsidR="007D3670" w:rsidRDefault="007D3670" w:rsidP="00790D6D">
      <w:pPr>
        <w:pStyle w:val="ae"/>
      </w:pPr>
    </w:p>
    <w:p w:rsidR="007D3670" w:rsidRDefault="007D3670" w:rsidP="00790D6D">
      <w:pPr>
        <w:pStyle w:val="ae"/>
        <w:numPr>
          <w:ilvl w:val="0"/>
          <w:numId w:val="1"/>
        </w:numPr>
      </w:pPr>
      <w:r>
        <w:rPr>
          <w:rFonts w:hint="cs"/>
          <w:rtl/>
        </w:rPr>
        <w:t xml:space="preserve">לטענת הנתבעת הפרשנות היחידה של ההסכם היא המאפשרת את העתקת מקום מגורי הקטינות מרחק של 40 ק"מ מהעיר ירושלים ללא צורך באישור התובע או בחינת טובתן בתסקיר. המעבר המבוקש לעיר </w:t>
      </w:r>
      <w:r w:rsidR="00041CED">
        <w:t>Z</w:t>
      </w:r>
      <w:r>
        <w:rPr>
          <w:rFonts w:hint="cs"/>
          <w:rtl/>
        </w:rPr>
        <w:t xml:space="preserve"> תואם את ההסכם ואין מקום להתערב בו ולשנות מהסכמת הצדדים שנעשתה לאחר בחינת טובת הקטינות לאחר הליך גישור ממושך ותוך התחשבות באפשרות שיחול שינוי נסיבות. לפיכך לטענתה כלל אין מקום לבחון את טובת הקטינות, או לשנות מהסכמות הצדדים תוך פגיעה במארג הכולל של הסכמותיהם ופגיעה חמורה באוטונומיה שלה, בזכותה היסודית להמשיך בחייה ולגדל את בתה התינוקת עם בעלה הנוכחי ותוך פגיעה בטובתה. לטענתה גם לא חל שינוי בנסיבות חלוקת זמני השהות של הקטינות עם </w:t>
      </w:r>
      <w:r w:rsidR="00220C2A">
        <w:rPr>
          <w:rFonts w:hint="cs"/>
          <w:rtl/>
        </w:rPr>
        <w:t>התובע,</w:t>
      </w:r>
      <w:r>
        <w:rPr>
          <w:rFonts w:hint="cs"/>
          <w:rtl/>
        </w:rPr>
        <w:t xml:space="preserve"> שכן ההסכם צפה את הרחבת זמני השהות שלהן עמו, וכי ההרחבה שנעשתה בהליכים שהתנהלו בין הצדדים לאחר ההסכם היא תוספת של לילה אחד בלבד </w:t>
      </w:r>
      <w:r w:rsidR="00220C2A">
        <w:rPr>
          <w:rFonts w:hint="cs"/>
          <w:rtl/>
        </w:rPr>
        <w:t>בכל שבוע</w:t>
      </w:r>
      <w:r>
        <w:rPr>
          <w:rFonts w:hint="cs"/>
          <w:rtl/>
        </w:rPr>
        <w:t xml:space="preserve"> אשר אינה עולה כדי שינוי נסיבות מהותי. עוד נאמר על ידיה שהקטינות מעוניינות במעבר שיטיב עמהן, לא ישנה את חלוקת זמני השהות שלהן בין הצדדים או את מסגרות חינוכן, יטיב את תנאי מגוריהן, ויאפשר להם לחוות תא משפחתי "חם אוהב ושמח" עם בעלה הנוכחי, בתם המשותפת ובנותיו מנישואיו הקודמים.</w:t>
      </w:r>
    </w:p>
    <w:p w:rsidR="007D3670" w:rsidRDefault="007D3670" w:rsidP="00790D6D">
      <w:pPr>
        <w:pStyle w:val="ae"/>
      </w:pPr>
    </w:p>
    <w:p w:rsidR="007D3670" w:rsidRDefault="007D3670" w:rsidP="00790D6D">
      <w:pPr>
        <w:pStyle w:val="ae"/>
        <w:numPr>
          <w:ilvl w:val="0"/>
          <w:numId w:val="1"/>
        </w:numPr>
        <w:rPr>
          <w:rtl/>
        </w:rPr>
      </w:pPr>
      <w:r>
        <w:rPr>
          <w:rFonts w:hint="cs"/>
          <w:rtl/>
        </w:rPr>
        <w:lastRenderedPageBreak/>
        <w:t xml:space="preserve">בהקשר טובת הקטינות והשאלה אם המעבר יפגע בקשר שלהן עם התובע יודגש שאין מחלוקת בין הצדדים שהוראות ההסכם אינן מתירות למי מהם לשנות את מסגרת החינוך של הקטינות בהעדר הסכמה של ההורה השני. בסיכומים טענה הנתבעת כאמור שהמעבר לא יפגע בקשר של הקטינות עם התובע שכן הוא לא ישנה את חלוקת זמני השהות של הקטינות בין הצדדים או את מסגרות חינוכן, וכי הקרבה של מסגרות החינוך למקום מגורי התובע דווקא תחזק את הקשר ביניהם (סעיף 97). </w:t>
      </w:r>
    </w:p>
    <w:p w:rsidR="007D3670" w:rsidRDefault="007D3670" w:rsidP="00790D6D">
      <w:pPr>
        <w:pStyle w:val="ae"/>
      </w:pPr>
      <w:r>
        <w:rPr>
          <w:rFonts w:hint="cs"/>
          <w:rtl/>
        </w:rPr>
        <w:t xml:space="preserve">ברם, בתגובתה לבקשה לצו מניעה הדגישה הנתבעת שהמעבר לעיר </w:t>
      </w:r>
      <w:r w:rsidR="00041CED">
        <w:t>Z</w:t>
      </w:r>
      <w:r>
        <w:rPr>
          <w:rFonts w:hint="cs"/>
          <w:rtl/>
        </w:rPr>
        <w:t xml:space="preserve"> עם הקטינות מתוכנן להיעשות על ידיה בשני שלבים. בשלב הראשון יוותרו הקטינות במסגרות חינוך בירושלים, ואז לא יהיו שינויים בהסדרי השהות שלהן עם התובע אשר ממילא אוסף ומחזיר את הקטינות ממסגרות החינוך ולא מביתה. "רק בשלב השני שאינו רלוונטי לעת עתה: יבחן שינוי מסגרות החינוך של הבנות שיעשה בהתאם לטובת הקטינות וצרכיהן" (סעיף 26 לתגובה; וראו גם טענותיה בדיון שהתקיים בעמ"ש 17694-08-23). במסגרת סיכומי הבקשה לצו מניעה הסכימה הנתבעת להתחייב שלא יעשה שינוי במסגרת החינוך של הקטינות בשנת הלימודים הקודמת (תשפ"ד) והנוכחית (תשפ"ה) באופן הנותן אינדיקציה שהחל משנת הלימודים הבאה כבר אפשר ש"השלב השני" בתכניתה יהפוך רלוונטי מבחינתה. </w:t>
      </w:r>
    </w:p>
    <w:p w:rsidR="007D3670" w:rsidRDefault="007D3670" w:rsidP="00790D6D">
      <w:pPr>
        <w:pStyle w:val="ae"/>
        <w:rPr>
          <w:rtl/>
        </w:rPr>
      </w:pPr>
      <w:r>
        <w:rPr>
          <w:rFonts w:hint="cs"/>
          <w:rtl/>
        </w:rPr>
        <w:t xml:space="preserve">עולה מכך בבירור שלנתבעת "תכנית על" להעתיק את חיי הקטינות לעיר </w:t>
      </w:r>
      <w:r w:rsidR="00041CED">
        <w:t>Z</w:t>
      </w:r>
      <w:r>
        <w:rPr>
          <w:rFonts w:hint="cs"/>
          <w:rtl/>
        </w:rPr>
        <w:t>. לאחר שיקבע מקום מגוריהן ב</w:t>
      </w:r>
      <w:r w:rsidR="00041CED">
        <w:t>Z-</w:t>
      </w:r>
      <w:r>
        <w:rPr>
          <w:rFonts w:hint="cs"/>
          <w:rtl/>
        </w:rPr>
        <w:t xml:space="preserve"> תבקש הנתבעת להעתיק גם את מסגרת חינוכן. עם זאת, הנתבעת לא עתרה בשום שלב בהליך הנוכחי לאפשר את שינוי מסגרת החינוך של הקטינות (כעת או בהמשך) ולמעשה לא הביאה סוגיה זו להכרעה. על אף שבהחלטה התייחס לכך בית המשפט במפורש והדגיש שניכר שהמדובר בפיצול מלאכותי של הסוגיה הנתבעת אף לא התייחסה לכך בתצהיר עדותה הראשית או בסיכומיה, אלא הדגישה שהמעבר לא יפגע בקשר של הקטינות עם התובע תוך התעלמות מוחלטת מתכניתה האמורה.</w:t>
      </w:r>
    </w:p>
    <w:p w:rsidR="007D3670" w:rsidRDefault="007D3670" w:rsidP="00790D6D">
      <w:pPr>
        <w:spacing w:line="360" w:lineRule="auto"/>
        <w:ind w:left="360"/>
      </w:pPr>
    </w:p>
    <w:p w:rsidR="007D3670" w:rsidRDefault="007D3670" w:rsidP="00790D6D">
      <w:pPr>
        <w:spacing w:line="360" w:lineRule="auto"/>
        <w:ind w:left="360"/>
        <w:rPr>
          <w:b/>
          <w:bCs/>
          <w:u w:val="single"/>
          <w:rtl/>
        </w:rPr>
      </w:pPr>
      <w:r>
        <w:rPr>
          <w:rFonts w:hint="cs"/>
          <w:b/>
          <w:bCs/>
          <w:u w:val="single"/>
          <w:rtl/>
        </w:rPr>
        <w:t>דיון והכרעה</w:t>
      </w:r>
    </w:p>
    <w:p w:rsidR="007D3670" w:rsidRDefault="007D3670" w:rsidP="00790D6D">
      <w:pPr>
        <w:spacing w:line="360" w:lineRule="auto"/>
        <w:ind w:left="360"/>
        <w:rPr>
          <w:b/>
          <w:bCs/>
          <w:u w:val="single"/>
          <w:rtl/>
        </w:rPr>
      </w:pPr>
      <w:r>
        <w:rPr>
          <w:rFonts w:hint="cs"/>
          <w:b/>
          <w:bCs/>
          <w:u w:val="single"/>
          <w:rtl/>
        </w:rPr>
        <w:t xml:space="preserve"> </w:t>
      </w:r>
    </w:p>
    <w:p w:rsidR="007D3670" w:rsidRDefault="007D3670" w:rsidP="00790D6D">
      <w:pPr>
        <w:pStyle w:val="ae"/>
        <w:numPr>
          <w:ilvl w:val="0"/>
          <w:numId w:val="1"/>
        </w:numPr>
        <w:rPr>
          <w:rtl/>
        </w:rPr>
      </w:pPr>
      <w:r>
        <w:rPr>
          <w:rFonts w:hint="cs"/>
          <w:rtl/>
        </w:rPr>
        <w:t>המחלוקת בין הצדדים נוגעת למעשה בשלוש שאלות:</w:t>
      </w:r>
    </w:p>
    <w:p w:rsidR="007D3670" w:rsidRDefault="007D3670" w:rsidP="00790D6D">
      <w:pPr>
        <w:pStyle w:val="ae"/>
        <w:numPr>
          <w:ilvl w:val="0"/>
          <w:numId w:val="2"/>
        </w:numPr>
        <w:ind w:left="1080" w:right="0"/>
      </w:pPr>
      <w:r>
        <w:rPr>
          <w:rFonts w:hint="cs"/>
          <w:rtl/>
        </w:rPr>
        <w:t>האם המעבר מקיים את תנאי ההסכם ואינו דורש את הסכמת התובע?</w:t>
      </w:r>
    </w:p>
    <w:p w:rsidR="007D3670" w:rsidRDefault="007D3670" w:rsidP="00790D6D">
      <w:pPr>
        <w:pStyle w:val="ae"/>
        <w:numPr>
          <w:ilvl w:val="0"/>
          <w:numId w:val="2"/>
        </w:numPr>
        <w:ind w:left="1080" w:right="0"/>
      </w:pPr>
      <w:r>
        <w:rPr>
          <w:rFonts w:hint="cs"/>
          <w:rtl/>
        </w:rPr>
        <w:t>האם קיימת עילה לעיין מחדש בהסכם?</w:t>
      </w:r>
    </w:p>
    <w:p w:rsidR="007D3670" w:rsidRDefault="007D3670" w:rsidP="00790D6D">
      <w:pPr>
        <w:pStyle w:val="ae"/>
        <w:numPr>
          <w:ilvl w:val="0"/>
          <w:numId w:val="2"/>
        </w:numPr>
        <w:ind w:left="1080" w:right="0"/>
      </w:pPr>
      <w:r>
        <w:rPr>
          <w:rFonts w:hint="cs"/>
          <w:rtl/>
        </w:rPr>
        <w:t>האם טובת הקטינות היא במעבר?</w:t>
      </w:r>
    </w:p>
    <w:p w:rsidR="007D3670" w:rsidRDefault="007D3670" w:rsidP="00790D6D">
      <w:pPr>
        <w:pStyle w:val="ae"/>
        <w:ind w:left="1080"/>
      </w:pPr>
    </w:p>
    <w:p w:rsidR="004579BD" w:rsidRDefault="007D3670" w:rsidP="00790D6D">
      <w:pPr>
        <w:pStyle w:val="ae"/>
        <w:numPr>
          <w:ilvl w:val="0"/>
          <w:numId w:val="1"/>
        </w:numPr>
      </w:pPr>
      <w:r>
        <w:rPr>
          <w:rFonts w:hint="cs"/>
          <w:rtl/>
        </w:rPr>
        <w:t xml:space="preserve">נקודת המוצא לדיון מצויה בהסכם בין הצדדים אשר קיבל תוקף של פסק דין. שהרי ברירת המחדל בכל הנוגע למקום מגוריו של קטין שהוריו חיים בנפרד היא הסכמת הוריו. זאת בהתאם להוראת סעיף 24 לחוק </w:t>
      </w:r>
      <w:r>
        <w:rPr>
          <w:rFonts w:hint="cs"/>
          <w:b/>
          <w:bCs/>
          <w:rtl/>
        </w:rPr>
        <w:t>הכשרות המשפטית והאפוטרופסות</w:t>
      </w:r>
      <w:r>
        <w:rPr>
          <w:rFonts w:hint="cs"/>
          <w:rtl/>
        </w:rPr>
        <w:t xml:space="preserve">, התשכ"ב-1962, ולפיה מעת שאושר ההסכם על ידי בית המשפט דינו כדין החלטת בית המשפט. </w:t>
      </w:r>
    </w:p>
    <w:p w:rsidR="007D3670" w:rsidRDefault="007D3670" w:rsidP="00790D6D">
      <w:pPr>
        <w:pStyle w:val="ae"/>
      </w:pPr>
      <w:r>
        <w:rPr>
          <w:rFonts w:hint="cs"/>
          <w:rtl/>
        </w:rPr>
        <w:lastRenderedPageBreak/>
        <w:t xml:space="preserve">עם זאת, בהתאם לסעיף 74 לחוק </w:t>
      </w:r>
      <w:r>
        <w:rPr>
          <w:rFonts w:hint="cs"/>
          <w:b/>
          <w:bCs/>
          <w:rtl/>
        </w:rPr>
        <w:t>הכשרות המשפטית והאפוטרופסות</w:t>
      </w:r>
      <w:r>
        <w:rPr>
          <w:rFonts w:hint="cs"/>
          <w:rtl/>
        </w:rPr>
        <w:t xml:space="preserve"> רשאי בית המשפט לשנות או לבטל החלטות קודמות עם שינוי הנסיבות או גילוי עובדות נוספות. במקרה כזה אין ההסכם מחייב עוד, כפי שנפסק לאחרונה על ידי בית המשפט העליון בשבתו כבג"צ: "</w:t>
      </w:r>
      <w:r>
        <w:rPr>
          <w:rFonts w:ascii="Miriam" w:hAnsi="Miriam" w:cs="Miriam"/>
          <w:b/>
          <w:bCs/>
          <w:rtl/>
        </w:rPr>
        <w:t>אכן, הסכם בין הורים אינו מחייב כאשר חל שינוי נסיבות מהותי או כאשר מוגשת תביעה עצמאית של הקטין</w:t>
      </w:r>
      <w:r>
        <w:rPr>
          <w:rFonts w:hint="cs"/>
          <w:rtl/>
        </w:rPr>
        <w:t xml:space="preserve">" [בג"צ 3972/23 </w:t>
      </w:r>
      <w:r>
        <w:rPr>
          <w:rFonts w:hint="cs"/>
          <w:b/>
          <w:bCs/>
          <w:rtl/>
        </w:rPr>
        <w:t>פלונית נ' פלוני</w:t>
      </w:r>
      <w:r>
        <w:rPr>
          <w:rFonts w:hint="cs"/>
          <w:rtl/>
        </w:rPr>
        <w:t xml:space="preserve"> (פורסם בנבו, 2.8.23)]. </w:t>
      </w:r>
    </w:p>
    <w:p w:rsidR="007D3670" w:rsidRDefault="007D3670" w:rsidP="00790D6D">
      <w:pPr>
        <w:pStyle w:val="ae"/>
      </w:pPr>
      <w:r>
        <w:rPr>
          <w:rFonts w:hint="cs"/>
          <w:rtl/>
        </w:rPr>
        <w:t xml:space="preserve">בשאלה מהו טיב השינוי בנסיבות המצדיק בחינה מחדש של ההחלטה נחלקו הדעות בפסיקה בין גישה מחמירה לפיה על מבקש השינוי מוטל נטל מוגבר להוכיח שינוי נסיבות מהותי [עמ"ש (חיפה) 1472-02-17 </w:t>
      </w:r>
      <w:r>
        <w:rPr>
          <w:rFonts w:hint="cs"/>
          <w:b/>
          <w:bCs/>
          <w:rtl/>
        </w:rPr>
        <w:t>י.כ נ' א.כ</w:t>
      </w:r>
      <w:r>
        <w:rPr>
          <w:rFonts w:hint="cs"/>
          <w:rtl/>
        </w:rPr>
        <w:t xml:space="preserve"> (פורסם בנבו, 31.8.17)], לבין גישה מקלה לפיה בהתאם להוראת סעיף 74 לחוק "</w:t>
      </w:r>
      <w:r>
        <w:rPr>
          <w:rFonts w:ascii="Miriam" w:hAnsi="Miriam" w:cs="Miriam"/>
          <w:b/>
          <w:bCs/>
          <w:rtl/>
        </w:rPr>
        <w:t>קביעות המשמורת נתונות לשינוי בכל עת, על פי הנסיבות ובהתאם לטובת הילד</w:t>
      </w:r>
      <w:r>
        <w:rPr>
          <w:rFonts w:hint="cs"/>
          <w:rtl/>
        </w:rPr>
        <w:t xml:space="preserve">" שמשמועתה שכל אימת שההסדר הקיים מזיק לקטין או שחלה התפתחות בחייו רשאי מי מהוריו לעתור לשינוי ההחלטה [עמ"ש 24680-05-16 </w:t>
      </w:r>
      <w:r>
        <w:rPr>
          <w:rFonts w:hint="cs"/>
          <w:b/>
          <w:bCs/>
          <w:rtl/>
        </w:rPr>
        <w:t>פלוני נ' פלוני</w:t>
      </w:r>
      <w:r>
        <w:rPr>
          <w:rFonts w:hint="cs"/>
          <w:rtl/>
        </w:rPr>
        <w:t xml:space="preserve"> (פורסם בנבו, 30.3.17)]. להשלמת התמונה יודגש שבר"ע על עמ"ש 1472-02-17 (בין היתר בשאלת טיב השינוי הנדרש כדי לבחון את טובת הקטינים) נדחתה על ידי בית המשפט העליון ונקבע שאין השאלה מגלה עילה למתן רשות ערעור: "</w:t>
      </w:r>
      <w:r>
        <w:rPr>
          <w:rFonts w:ascii="Miriam" w:hAnsi="Miriam" w:cs="Miriam"/>
          <w:b/>
          <w:bCs/>
          <w:rtl/>
        </w:rPr>
        <w:t>שכן השאלה בדבר חלוקת זמני שהייה של ילדים עם הוריהם היא שאלה שיש להכריע בה על פי נסיבותיו הקונקרטיות של כל מקרה מקרה</w:t>
      </w:r>
      <w:r>
        <w:rPr>
          <w:rFonts w:hint="cs"/>
          <w:rtl/>
        </w:rPr>
        <w:t xml:space="preserve">" [בע"מ 8741/17 </w:t>
      </w:r>
      <w:r>
        <w:rPr>
          <w:rFonts w:hint="cs"/>
          <w:b/>
          <w:bCs/>
          <w:rtl/>
        </w:rPr>
        <w:t>פלוני נ' פלונית</w:t>
      </w:r>
      <w:r>
        <w:rPr>
          <w:rFonts w:hint="cs"/>
          <w:rtl/>
        </w:rPr>
        <w:t xml:space="preserve"> (פורסם בנבו, 21.11.17) פסקה 7].</w:t>
      </w:r>
    </w:p>
    <w:p w:rsidR="007D3670" w:rsidRDefault="007D3670" w:rsidP="00790D6D">
      <w:pPr>
        <w:pStyle w:val="ae"/>
        <w:rPr>
          <w:rtl/>
        </w:rPr>
      </w:pPr>
    </w:p>
    <w:p w:rsidR="007D3670" w:rsidRDefault="007D3670" w:rsidP="00790D6D">
      <w:pPr>
        <w:pStyle w:val="ae"/>
        <w:numPr>
          <w:ilvl w:val="0"/>
          <w:numId w:val="1"/>
        </w:numPr>
      </w:pPr>
      <w:r>
        <w:rPr>
          <w:rFonts w:hint="cs"/>
          <w:rtl/>
        </w:rPr>
        <w:t>בענייננו חלוקים הצדדים בשאלת פרשנותו של ההסכם והאם המעבר המבוקש מקיים את תנאיו. לטענת התובע יש לפרש את ההוראה בהסכם כמאפשרת העתקת מקום מגורי הקטינות בעיר ירושלים בלבד, פרשנות המתיישבת עם הבהרת הצדדים בפרוטוקול הדיון שאישר את ההסכם ועם יתר הוראות ההסכם, ולפיכך אין המעבר מקיים את תנאי ההסכם ויש לבחון את המעבר המבוקש כתובענה להעתקת מקום מגורים המחייבת בחינת טובת הקטינות. לעומתו טוענת הנתבעת שהפרשנות היחידה של ההסכם היא המאפשרת את העתקת מקום מגורי הקטינות מרחק של 40 ק"מ מהעיר ירושלים ולפיכך המעבר המבוקש מקיים את תנאי ההסכם המחייב, שהוא תולדה של הליך גישור ארוך אשר מביא לידי ביטוי את עמדות שני הצדדים והסכמותיהם ביחס לטובת הקטינות, ועל כן אין להתערב בהסכמות ואין מקום לבחון שוב את טובת הקטינות.</w:t>
      </w:r>
    </w:p>
    <w:p w:rsidR="007D3670" w:rsidRDefault="007D3670" w:rsidP="00790D6D">
      <w:pPr>
        <w:pStyle w:val="ae"/>
      </w:pPr>
    </w:p>
    <w:p w:rsidR="004579BD" w:rsidRDefault="007D3670" w:rsidP="00790D6D">
      <w:pPr>
        <w:pStyle w:val="ae"/>
        <w:numPr>
          <w:ilvl w:val="0"/>
          <w:numId w:val="1"/>
        </w:numPr>
      </w:pPr>
      <w:r>
        <w:rPr>
          <w:rFonts w:hint="cs"/>
          <w:rtl/>
        </w:rPr>
        <w:t xml:space="preserve">כפי שנקבע בהחלטה, וכפי שיפורט עוד בהרחבה להלן, סבורתני שחל שינוי נסיבות מהותי המצדיק את בחינת טובת הקטינות ביחס למעבר, ומשכך לא נדרשת הכרעה סופית בשאלת הפרשנות שיש ליתן להסכמת הצדדים אשר גם לאחר ההבהרה לפרוטוקול הדיון שקדם לאישור ההסכם נותרה עמומה וסובלת לכאורה את שתי הפרשנויות שמציעים הצדדים. ודוק. אישור ההסכם הוא בכפוף להבהרות הצדדים בפרוטוקול. </w:t>
      </w:r>
    </w:p>
    <w:p w:rsidR="004579BD" w:rsidRDefault="004579BD" w:rsidP="00790D6D">
      <w:pPr>
        <w:pStyle w:val="ae"/>
        <w:rPr>
          <w:rtl/>
        </w:rPr>
      </w:pPr>
    </w:p>
    <w:p w:rsidR="007D3670" w:rsidRDefault="007D3670" w:rsidP="00790D6D">
      <w:pPr>
        <w:pStyle w:val="ae"/>
        <w:rPr>
          <w:rtl/>
        </w:rPr>
      </w:pPr>
      <w:r>
        <w:rPr>
          <w:rFonts w:hint="cs"/>
          <w:rtl/>
        </w:rPr>
        <w:lastRenderedPageBreak/>
        <w:t xml:space="preserve">הצדדים נשאלו בדיון שקדם לאישור ההסכם לפשר כוונתם והשיבו "בירושלים". גם בסעיף 10א להסכם קבוע שהצדדים מסכימים שטובת קטינות להתגורר בעיר ירושלים. ניכר על פניו שהבהרת הצדדים מלמדת שההסכמה היא שהמעבר אפשרי ללא הסכמת הצד השני כל עוד הוא </w:t>
      </w:r>
      <w:r>
        <w:rPr>
          <w:rFonts w:hint="cs"/>
          <w:u w:val="single"/>
          <w:rtl/>
        </w:rPr>
        <w:t>ב</w:t>
      </w:r>
      <w:r>
        <w:rPr>
          <w:rFonts w:hint="cs"/>
          <w:rtl/>
        </w:rPr>
        <w:t>ירושלים (ואז אין משמעות למעשה למרחק 40 ק"מ שפורט בהסכם). אחזור בהקשר זה על האמור בסעיף 9 להחלטה: "</w:t>
      </w:r>
      <w:r>
        <w:rPr>
          <w:rFonts w:hint="cs"/>
          <w:b/>
          <w:bCs/>
          <w:rtl/>
        </w:rPr>
        <w:t>מבלי לקבוע מסמרות ניכר על פניו שהעתקת מקום מגורים למרחק של 40 ק"מ מצריך גם שינוי מסגרת חינוכית אשר דורש את הסכמת הצדדים תוך בחינת טובת הקטינות, ובאופן שמתיישב דווקא עם הפרשנות של המבקש ולפיה מעבר בתוך העיר ירושלים לא יצריך את אישור ההורה השני (שאז לא נדרש גם שינוי של המסגרת החינוכית) ואילו במעבר לעיר אחרת נדרש גם שינוי מסגרת חינוכית וממילא מצריך את בחינת טובת הקטינות ואישור ההורה השני</w:t>
      </w:r>
      <w:r>
        <w:rPr>
          <w:rFonts w:hint="cs"/>
          <w:rtl/>
        </w:rPr>
        <w:t xml:space="preserve">". </w:t>
      </w:r>
    </w:p>
    <w:p w:rsidR="007D3670" w:rsidRDefault="007D3670" w:rsidP="00790D6D">
      <w:pPr>
        <w:pStyle w:val="ae"/>
        <w:rPr>
          <w:rtl/>
        </w:rPr>
      </w:pPr>
      <w:r>
        <w:rPr>
          <w:rFonts w:hint="cs"/>
          <w:rtl/>
        </w:rPr>
        <w:t>עם זאת, לצורך הדיון אניח לטובת הנתבעת (מבלי שיהיה בכך משום קביעה) שההסכם מאפשר את העתקת מקום מגורי הקטינות מרחק של 40 ק"מ מהעיר ירושלים וכי המעבר המבוקש ממלא אחר תנאיו. ברם, כפי שנאמר גם בהחלטה סבורתני שנדרש לבחון אם טובת הקטינות היא במעבר. כפועל יוצא הרי גם אם הייתה המסקנה שהמעבר אינו עונה על תנאי ההסכם אך נמצא שהוא מטיב עם הקטינות היה בית המשפט מאפשר אותו.</w:t>
      </w:r>
    </w:p>
    <w:p w:rsidR="007D3670" w:rsidRDefault="007D3670" w:rsidP="00790D6D">
      <w:pPr>
        <w:pStyle w:val="ae"/>
      </w:pPr>
    </w:p>
    <w:p w:rsidR="007D3670" w:rsidRDefault="007D3670" w:rsidP="00790D6D">
      <w:pPr>
        <w:pStyle w:val="ae"/>
        <w:numPr>
          <w:ilvl w:val="0"/>
          <w:numId w:val="1"/>
        </w:numPr>
      </w:pPr>
      <w:r>
        <w:rPr>
          <w:rFonts w:hint="cs"/>
          <w:rtl/>
        </w:rPr>
        <w:t>לטענת הנתבעת לא חל שינוי נסיבות המצדיק סטייה מההסכם בו בחנו הצדדים את טובת הקטינות, ועל כן אל לבית המשפט להתערב בו תוך פגיעה בעיקרון הוודאות וההסתמכות. על מנת להגביר את "</w:t>
      </w:r>
      <w:r>
        <w:rPr>
          <w:rFonts w:ascii="Miriam" w:hAnsi="Miriam" w:cs="Miriam"/>
          <w:b/>
          <w:bCs/>
          <w:rtl/>
        </w:rPr>
        <w:t>הציפיות והוודאות כמו גם את ההסתמכות על אינטרס הסופיות</w:t>
      </w:r>
      <w:r>
        <w:rPr>
          <w:rFonts w:hint="cs"/>
          <w:rtl/>
        </w:rPr>
        <w:t xml:space="preserve">" שבהסכם הציע חברי כב' השופט זגורי "קווים מנחים" להפעלת שיקול הדעת השיפוטי בבחינת שינוי הנסיבות הנדרש בתביעה לשינוי חלוקת זמני שהות או העתקת מקום מגורים לאחר שזו הוסכמה על ידי הצדדים במסגרת הסכם שאושר וקיבל תוקף של פסק דין [תלה"מ 22342-05-17 </w:t>
      </w:r>
      <w:r>
        <w:rPr>
          <w:rFonts w:hint="cs"/>
          <w:b/>
          <w:bCs/>
          <w:rtl/>
        </w:rPr>
        <w:t xml:space="preserve">ל.ט נ' ר.ע </w:t>
      </w:r>
      <w:r>
        <w:rPr>
          <w:rFonts w:hint="cs"/>
          <w:rtl/>
        </w:rPr>
        <w:t xml:space="preserve">(פורסם בנבו, 23.7.17)]. ביניהם מנה את משך הזמן שחלף ממועד אישור ההסכם, תום הלב של מבקש המעבר, האם ההסכם הוא עצמאי (בעניין הקטינים) או הסכם כולל בין הצדדים, האם נבחנה במסגרתו טובת הקטינים בעזרת מומחה והאם נשקל רצון הקטינים, והאם במסגרת ההסכם נלקחה בחשבון האפשרות של שינוי נסיבות. </w:t>
      </w:r>
    </w:p>
    <w:p w:rsidR="004579BD" w:rsidRDefault="007D3670" w:rsidP="00790D6D">
      <w:pPr>
        <w:pStyle w:val="ae"/>
        <w:rPr>
          <w:rtl/>
        </w:rPr>
      </w:pPr>
      <w:r>
        <w:rPr>
          <w:rFonts w:hint="cs"/>
          <w:rtl/>
        </w:rPr>
        <w:t xml:space="preserve">בהתייחס לקווים מנחים אלו יודגש שבענייננו ההסכם לקח בחשבון אפשרות של העתקת מקום מגורים ואף לקח בחשבון אפשרות של הרחבת זמני השהות של הקטינות עם התובע. </w:t>
      </w:r>
      <w:r w:rsidR="000305B2">
        <w:rPr>
          <w:rFonts w:hint="cs"/>
          <w:rtl/>
        </w:rPr>
        <w:t>עם זאת</w:t>
      </w:r>
      <w:r>
        <w:rPr>
          <w:rFonts w:hint="cs"/>
          <w:rtl/>
        </w:rPr>
        <w:t xml:space="preserve">, הסכמות הצדדים התגבשו במסגרת הסכם גירושין כולל (להבדיל מהסדר אך ורק בענייני הקטינות) מבלי שנבחנה טובתן על ידי גורם מומחה, ומבלי שנלקחו בחשבון עמדותיהן ורצונותיהן (שהיו אז בנות ארבע ושנתיים), ומאז אישורו חלפו למעלה משבע שנים. </w:t>
      </w:r>
    </w:p>
    <w:p w:rsidR="007D3670" w:rsidRDefault="007D3670" w:rsidP="00790D6D">
      <w:pPr>
        <w:pStyle w:val="ae"/>
      </w:pPr>
      <w:r>
        <w:rPr>
          <w:rFonts w:hint="cs"/>
          <w:rtl/>
        </w:rPr>
        <w:t>כמו כן, וכפי שיפורט להלן, ההסכם</w:t>
      </w:r>
      <w:r w:rsidR="000305B2">
        <w:rPr>
          <w:rFonts w:hint="cs"/>
          <w:rtl/>
        </w:rPr>
        <w:t xml:space="preserve"> אמנם</w:t>
      </w:r>
      <w:r>
        <w:rPr>
          <w:rFonts w:hint="cs"/>
          <w:rtl/>
        </w:rPr>
        <w:t xml:space="preserve"> צפה את הרחבת זמני השהות ואולם זמני השהות הורחבו מעבר להסכמת הצדדים על ידי בית המשפט ובעזרת מומחה ולא בדרך של מימוש ההסכם, ונמצא יותר מקורטוב של חוסר תום לב בהתנהלות הנתבעת. כפי שנראה להלן בחינת ענייננו </w:t>
      </w:r>
      <w:r w:rsidR="000305B2">
        <w:rPr>
          <w:rFonts w:hint="cs"/>
          <w:rtl/>
        </w:rPr>
        <w:t xml:space="preserve">גם </w:t>
      </w:r>
      <w:r>
        <w:rPr>
          <w:rFonts w:hint="cs"/>
          <w:rtl/>
        </w:rPr>
        <w:t xml:space="preserve">בראי קווים מנחים </w:t>
      </w:r>
      <w:r w:rsidR="000305B2">
        <w:rPr>
          <w:rFonts w:hint="cs"/>
          <w:rtl/>
        </w:rPr>
        <w:t xml:space="preserve">מוצעים </w:t>
      </w:r>
      <w:r>
        <w:rPr>
          <w:rFonts w:hint="cs"/>
          <w:rtl/>
        </w:rPr>
        <w:t>אלו מצדיקה דיון מחדש בעניין מעבר מגורי הקטינות.</w:t>
      </w:r>
    </w:p>
    <w:p w:rsidR="007D3670" w:rsidRDefault="007D3670" w:rsidP="00790D6D">
      <w:pPr>
        <w:pStyle w:val="ae"/>
        <w:numPr>
          <w:ilvl w:val="0"/>
          <w:numId w:val="1"/>
        </w:numPr>
        <w:rPr>
          <w:rtl/>
        </w:rPr>
      </w:pPr>
      <w:r>
        <w:rPr>
          <w:rFonts w:hint="cs"/>
          <w:rtl/>
        </w:rPr>
        <w:lastRenderedPageBreak/>
        <w:t>לטענת הנתבעת חלוקת זמני השהות הקיימת היום אינה עולה כדי שינוי נסיבות מהותי משום שנצפתה על ידי הצדדים בהסכם ומשום שהוספת לילה אחד באמצע השבוע אינה משנה מהאמור בהסכם. טענה זו, על שני ראשיה, אין בידי לקבל.</w:t>
      </w:r>
    </w:p>
    <w:p w:rsidR="007D3670" w:rsidRDefault="007D3670" w:rsidP="00790D6D">
      <w:pPr>
        <w:pStyle w:val="ae"/>
      </w:pPr>
    </w:p>
    <w:p w:rsidR="007D3670" w:rsidRDefault="007D3670" w:rsidP="00790D6D">
      <w:pPr>
        <w:pStyle w:val="ae"/>
        <w:numPr>
          <w:ilvl w:val="0"/>
          <w:numId w:val="1"/>
        </w:numPr>
      </w:pPr>
      <w:r>
        <w:rPr>
          <w:rFonts w:hint="cs"/>
          <w:rtl/>
        </w:rPr>
        <w:t xml:space="preserve">ראשית, בהסכם הסכימו הצדדים שהמשמורת על הקטינות תהיה בידי הנתבעת. אותה עת שהו הקטינות עם התובע לילה אחד במחזוריות של שבועיים והוסכם שמעת שיעבור התובע להתגורר בגפו, ובתוך תקופה של 6 חודשים, יורחבו זמני השהות בהדרגה עד שישהו עמו בכל יום שלישי כולל לינה ובכל סוף שבוע שני כולל לינה במוצ"ש. קרי, 4 לילות מתוך 14 במחזוריות של שבועיים. הצדדים צפו אפוא חלוקת זמני שהות לפיה ישהו הקטינות עם התובע לכל היותר ארבעה לילות במחזוריות של שבועיים. הרחבת זמני השהות לששה לילות במחזוריות של שבועיים, ומעבר למה שהוסכם, אינה שינוי מינורי אלא שינוי משמעותי כשלעצמו. הרחבה כזו מחלקת למעשה את זמני השהות של הקטינות כמעט באופן שווה בין הצדדים וכפועל יוצא תופסות הקטינות את ביתם של שני הצדדים כבית מרכזי בחייהן. התוספת של יום בשבוע כולל לינה (עוד שני לילות במחזוריות של שבועיים) היא משמעותית ומטה את הכף לאחריות הורית משותפת (או משמורת משותפת). ודוק. בעקבות שינוי משמעותי זה הסכימו הצדדים ביום 17.2.21 גם על שינוי גובה החיוב במזונות שנקבע בהסכם (תלה"מ 50936-03-20). </w:t>
      </w:r>
    </w:p>
    <w:p w:rsidR="007D3670" w:rsidRDefault="007D3670" w:rsidP="00790D6D">
      <w:pPr>
        <w:pStyle w:val="ae"/>
      </w:pPr>
    </w:p>
    <w:p w:rsidR="007D3670" w:rsidRDefault="007D3670" w:rsidP="00790D6D">
      <w:pPr>
        <w:pStyle w:val="ae"/>
        <w:numPr>
          <w:ilvl w:val="0"/>
          <w:numId w:val="1"/>
        </w:numPr>
      </w:pPr>
      <w:r>
        <w:rPr>
          <w:rFonts w:hint="cs"/>
          <w:rtl/>
        </w:rPr>
        <w:t xml:space="preserve">שנית, מעבר לעובדה שזמני השהות של הקטינות עם התובע כיום רחבים באופן משמעותי מזה שהוסכם על הצדדים בהסכם, ועולים כדי אחריות הורית משותפת, הם אינם תוצאה של מימוש הוראות ההסכם שצפו את הרחבת זמני השהות כי אם קביעה של בית המשפט בעקבות הליכים בהם פתחה הנתבעת במסגרתם ביקשה למנוע את מימוש חלוקת זמני השהות שנקבעה בהסכם, ועמדה על קביעת זמני השהות לאחר שמומחה יבחן את טובת הקטינות. כפי שפורט לעיל, הנתבעת התנגדה בכל מאודה למימוש הוראות ההסכם ביחס להרחבת זמני השהות של הקטינות עם התובע וביקשה למנוע אותם בצו הגנה (בקשה שנמחקה בהסכמה ובפסק הדין נקבע שזמני השהות יתקיימו כקבוע בהסכם). על אף האמור עתרה הנתבעת לבית המשפט בתובענה נוספת ודרשה שזמני השהות לא יתקיימו כפי שהוסכם אלא שיקבעו זמני שהות לאחר בחינת טובת הקטינות בעזרת מומחה. והנה, רק במסגרת הליך משפטי ממושך ומעורבות מומחה מטעם בית המשפט, הליך שכלל גם תהליך טיפולי לצדדים, הורחבו זמני השהות של הקטינות עם התובע (אף מעבר לקבוע בהסכם) וכעת שוהות הן עמו 6 לילות מתוך 14 במחזוריות של שבועיים. </w:t>
      </w:r>
    </w:p>
    <w:p w:rsidR="004579BD" w:rsidRDefault="007D3670" w:rsidP="00790D6D">
      <w:pPr>
        <w:pStyle w:val="ae"/>
        <w:rPr>
          <w:rtl/>
        </w:rPr>
      </w:pPr>
      <w:r>
        <w:rPr>
          <w:rFonts w:hint="cs"/>
          <w:rtl/>
        </w:rPr>
        <w:t>ודוק. הגם שהתובע עבר לדירה משלו כבר בשלהי שנת 2018 ובהתאם להסכם הסדרי השהות המורחבים היו צריכים להיכנס לתוקפם בתוך 6 חודשים לאחר מכן, הם נקבעו על ידי בית המשפט (באופן רחב יותר מההסכם) רק ביום 10.9.20 ונכנסו לתוקפם מאוחר יותר.</w:t>
      </w:r>
    </w:p>
    <w:p w:rsidR="007D3670" w:rsidRDefault="007D3670" w:rsidP="00790D6D">
      <w:pPr>
        <w:pStyle w:val="ae"/>
      </w:pPr>
      <w:r>
        <w:rPr>
          <w:rFonts w:hint="cs"/>
          <w:rtl/>
        </w:rPr>
        <w:lastRenderedPageBreak/>
        <w:t xml:space="preserve">הנה כי כן, הרחבת זמני השהות של הקטינות עם התובע אינה תוצאה של יישום הוראות ההסכם אלא תוצאה של הכרעה שיפוטית לאחר בחינת טובתן בעזרת מומחה (כפי שדרשה הנתבעת) ובעקבותיה מחלקות הקטינות את זמנן באופן שווה בין הצדדים. </w:t>
      </w:r>
    </w:p>
    <w:p w:rsidR="007D3670" w:rsidRDefault="007D3670" w:rsidP="00790D6D">
      <w:pPr>
        <w:pStyle w:val="ae"/>
      </w:pPr>
    </w:p>
    <w:p w:rsidR="007D3670" w:rsidRDefault="007D3670" w:rsidP="00790D6D">
      <w:pPr>
        <w:pStyle w:val="ae"/>
        <w:numPr>
          <w:ilvl w:val="0"/>
          <w:numId w:val="1"/>
        </w:numPr>
        <w:rPr>
          <w:rtl/>
        </w:rPr>
      </w:pPr>
      <w:r>
        <w:rPr>
          <w:rFonts w:hint="cs"/>
          <w:rtl/>
        </w:rPr>
        <w:t xml:space="preserve">עוד יודגש שמאז אישור ההסכם "זרמו הרבה מים בנהר" והצדדים אינם מצויים באותו המקום, אף לא באותו המקום שצפו בעת אישור ההסכם. אין המדובר בצדדים שאישרו הסכם ביחס לילדיהם הקטינים ונפגשו שוב כעבור 7 שנים במחלוקת בסוגיה הנוגעת לקטינים ואשר לכאורה הוסדרה בהסכם. מדובר בצדדים שביסוד הדברים מאז אישור ההסכם ניהלו הליכים מורכבים בבית המשפט בנוגע לקטינות וחלוקת זמני השהות שלהן עמהם, מהם עלה שהתקשורת ביניהם רעועה, שהקטינות מצויות בלבת המאבק המתנהל על גביהן ושנדרש טיפול משפחתי וכן טיפול רגשי לקטינות. </w:t>
      </w:r>
    </w:p>
    <w:p w:rsidR="007D3670" w:rsidRDefault="007D3670" w:rsidP="00790D6D">
      <w:pPr>
        <w:pStyle w:val="ae"/>
      </w:pPr>
    </w:p>
    <w:p w:rsidR="007D3670" w:rsidRDefault="007D3670" w:rsidP="00790D6D">
      <w:pPr>
        <w:pStyle w:val="ae"/>
        <w:numPr>
          <w:ilvl w:val="0"/>
          <w:numId w:val="1"/>
        </w:numPr>
      </w:pPr>
      <w:r>
        <w:rPr>
          <w:rFonts w:hint="cs"/>
          <w:rtl/>
        </w:rPr>
        <w:t xml:space="preserve">מאז אישור ההסכם </w:t>
      </w:r>
      <w:r w:rsidR="00F03265">
        <w:rPr>
          <w:rFonts w:hint="cs"/>
          <w:rtl/>
        </w:rPr>
        <w:t xml:space="preserve">גם </w:t>
      </w:r>
      <w:r>
        <w:rPr>
          <w:rFonts w:hint="cs"/>
          <w:rtl/>
        </w:rPr>
        <w:t xml:space="preserve">חל שינוי במצבן הרגשי של הקטינות בעקבות קשיים שגילו משך השנים בחלוקת זמני השהות עם הצדדים ובתמורות שחלו בכך, ונוכח המאבקים בין הצדדים שהתנהלו על גביהן. </w:t>
      </w:r>
    </w:p>
    <w:p w:rsidR="007D3670" w:rsidRDefault="007D3670" w:rsidP="00790D6D">
      <w:pPr>
        <w:pStyle w:val="ae"/>
        <w:rPr>
          <w:rtl/>
        </w:rPr>
      </w:pPr>
      <w:r>
        <w:rPr>
          <w:rFonts w:hint="cs"/>
          <w:rtl/>
        </w:rPr>
        <w:t xml:space="preserve">אחת מהטענות שהעלתה הנתבעת בשעתו, כטעם המצדיק שלא לקיים את הוראות ההסכם ביחס להרחבת זמני השהות של הקטינות עם התובע מבלי לבחון את טובתן, הייתה שהקטינות מגלות קשיים בשהותן עם התובע ובמעברים ביניהם, וכי במיוחד לקטינה </w:t>
      </w:r>
      <w:r w:rsidR="00041CED">
        <w:t>X</w:t>
      </w:r>
      <w:r>
        <w:rPr>
          <w:rFonts w:hint="cs"/>
          <w:rtl/>
        </w:rPr>
        <w:t xml:space="preserve"> יש קשיים רגשיים המחייבים טיפול. אין מקום להיכנס במסגרת ההכרעה דכאן האם לטענות אלו מצד הנתבעת היה יסוד (כטענתה) או שהן נבעו מקשיים שלה לאפשר את שהות הקטינות עם התובע (כטענתו). דומה שלא יתכן חולק שבמסגרת ההסכם לא צפו הצדדים את הקשיים הרגשיים הנטענים שחוו הקטינות בהרחבת זמני השהות ובמעברים בין הצדדים. אין זה מן הנמנע שקשיים אלו נוצרו או למצער החריפו בעקבות המאבקים המתנהלים בין הוריהם על גביהן למעשה כמעט באופן רצוף מאז אישור ההסכם בשנת 2017 ועד כה. גם בתסקיר פירטה העו"ס ששני הצדדים הדגישו את ההחרפה במצבה הרגשי של הקטינה </w:t>
      </w:r>
      <w:r w:rsidR="00041CED">
        <w:t>X</w:t>
      </w:r>
      <w:r w:rsidR="00041CED">
        <w:rPr>
          <w:rFonts w:hint="cs"/>
          <w:rtl/>
        </w:rPr>
        <w:t xml:space="preserve"> </w:t>
      </w:r>
      <w:r>
        <w:rPr>
          <w:rFonts w:hint="cs"/>
          <w:rtl/>
        </w:rPr>
        <w:t xml:space="preserve">(עמ' 24 שורות 1-4 לפרוטוקול), וכי הקונפליקט גורם גם לקטינה </w:t>
      </w:r>
      <w:r w:rsidR="00041CED">
        <w:rPr>
          <w:rFonts w:hint="cs"/>
        </w:rPr>
        <w:t>Y</w:t>
      </w:r>
      <w:r>
        <w:rPr>
          <w:rFonts w:hint="cs"/>
          <w:rtl/>
        </w:rPr>
        <w:t xml:space="preserve"> מתח והיא מגלה רגישות גבוהה ועל כן המליצה ששתי הקטינות יקבלו טיפול רגשי. המלצה ששני הצדדים מסכימים לה.</w:t>
      </w:r>
    </w:p>
    <w:p w:rsidR="007D3670" w:rsidRDefault="007D3670" w:rsidP="00790D6D">
      <w:pPr>
        <w:pStyle w:val="ae"/>
        <w:rPr>
          <w:rtl/>
        </w:rPr>
      </w:pPr>
    </w:p>
    <w:p w:rsidR="007D3670" w:rsidRDefault="007D3670" w:rsidP="00790D6D">
      <w:pPr>
        <w:pStyle w:val="ae"/>
        <w:numPr>
          <w:ilvl w:val="0"/>
          <w:numId w:val="1"/>
        </w:numPr>
      </w:pPr>
      <w:r>
        <w:rPr>
          <w:rFonts w:hint="cs"/>
          <w:rtl/>
        </w:rPr>
        <w:t xml:space="preserve">הנה כי כן, מאז אישור ההסכם ועל אף ההסכם לא שקטו הצדדים ומשך השנים התדיינו בעניינן של הקטינות, ובעקבות התדיינות ממושכת זו נקבע שהקטינות יחלקו את זמנן באופן כמעט שווה ביניהם. חלוקת זמני השהות שנקבעה רחבה יותר מזמני השהות שהוסכמו, והיא תוצאה של הכרעה שיפוטית בעקבות התדיינות ממושכת שקיימו הצדדים בעניינן ולא של מימוש ההסכם, וכפועל יוצא ממנה למעשה שותפים הצדדים באחריות ההורית כלפי הקטינות. כמו כן, חל שינוי גם במצבן הרגשי של הקטינות המתקשות להסתגל למעברים ולשינויים והמצריך טיפול רגשי. </w:t>
      </w:r>
    </w:p>
    <w:p w:rsidR="007D3670" w:rsidRDefault="007D3670" w:rsidP="00790D6D">
      <w:pPr>
        <w:pStyle w:val="ae"/>
        <w:numPr>
          <w:ilvl w:val="0"/>
          <w:numId w:val="1"/>
        </w:numPr>
      </w:pPr>
      <w:r>
        <w:rPr>
          <w:rFonts w:hint="cs"/>
          <w:rtl/>
        </w:rPr>
        <w:lastRenderedPageBreak/>
        <w:t xml:space="preserve">בנסיבות האמורות, עת התנגדה הנתבעת לביצוע ההסכם ועמדה על בחינת טובת הקטינות בעזרת מומחה לצורך קביעת זמני השהות שלהן עם התובע, יש מי שיאמר שהיא מושתקת מלהעלות טענה שאין מקום לבחון כעת את טובת הקטינות ביחס למעבר המבוקש. ניתן אף למצוא יותר מקורטוב של חוסר תום לב בטענתה כעת שבחינת טובת הקטינות אינה נדרשת ביחס למעבר לעיר אחרת למגורים עם בן זוגה וילדיו מנישואיו הקודמים, אשר לכל הדעות מהווה שינוי מטלטל בחיי הקטינות, ובוודאי עת לשיטתה מעבר זה הוא רק שלב ראשון ב"תכנית על" שלאחריה יתבקש גם שינוי המסגרת החינוכית של הקטינות ובאופן שמרכז חיי הקטינות יועתק לעיר </w:t>
      </w:r>
      <w:r w:rsidR="00FD1B7C">
        <w:rPr>
          <w:rFonts w:hint="cs"/>
        </w:rPr>
        <w:t>Z</w:t>
      </w:r>
      <w:r>
        <w:rPr>
          <w:rFonts w:hint="cs"/>
          <w:rtl/>
        </w:rPr>
        <w:t xml:space="preserve">. דומה שלא יתכן חולק שספק אם לאחריו ניתן עוד יהיה לקיים את חלוקת זמני השהות שלהן באופן שווה בין הצדדים כפי שהיא מתקיימת כיום. </w:t>
      </w:r>
    </w:p>
    <w:p w:rsidR="007D3670" w:rsidRDefault="007D3670" w:rsidP="00790D6D">
      <w:pPr>
        <w:pStyle w:val="ae"/>
      </w:pPr>
    </w:p>
    <w:p w:rsidR="007D3670" w:rsidRPr="004579BD" w:rsidRDefault="007D3670" w:rsidP="00790D6D">
      <w:pPr>
        <w:pStyle w:val="ae"/>
        <w:numPr>
          <w:ilvl w:val="0"/>
          <w:numId w:val="1"/>
        </w:numPr>
        <w:rPr>
          <w:rtl/>
        </w:rPr>
      </w:pPr>
      <w:r>
        <w:rPr>
          <w:rFonts w:hint="cs"/>
          <w:rtl/>
        </w:rPr>
        <w:t>סבורתני שכל אחד משינויים אלו (ובוודאי במשקלם המצטבר) עולים כדי שינוי נסיבות מהותי. במצב דברים זה, גם אם נאמר שהמעבר מקיים את הוראות ההסכם, על בית המשפט להכריע בתובענה אם למנוע את המעבר "</w:t>
      </w:r>
      <w:r>
        <w:rPr>
          <w:rFonts w:ascii="Miriam" w:hAnsi="Miriam" w:cs="Miriam"/>
          <w:b/>
          <w:bCs/>
          <w:rtl/>
        </w:rPr>
        <w:t>כפי שייראה לו לטובת הקטין</w:t>
      </w:r>
      <w:r>
        <w:rPr>
          <w:rFonts w:hint="cs"/>
          <w:b/>
          <w:bCs/>
          <w:rtl/>
        </w:rPr>
        <w:t>..."</w:t>
      </w:r>
      <w:r>
        <w:rPr>
          <w:rFonts w:hint="cs"/>
          <w:rtl/>
        </w:rPr>
        <w:t xml:space="preserve"> [</w:t>
      </w:r>
      <w:r w:rsidRPr="004579BD">
        <w:rPr>
          <w:color w:val="000000" w:themeColor="text1"/>
          <w:rtl/>
        </w:rPr>
        <w:t xml:space="preserve">הוראת </w:t>
      </w:r>
      <w:hyperlink r:id="rId8" w:history="1">
        <w:r w:rsidRPr="004579BD">
          <w:rPr>
            <w:rStyle w:val="Hyperlink"/>
            <w:rFonts w:ascii="David" w:hAnsi="David" w:cs="David"/>
            <w:color w:val="000000" w:themeColor="text1"/>
            <w:u w:val="none"/>
            <w:rtl/>
          </w:rPr>
          <w:t>סעיף 25</w:t>
        </w:r>
      </w:hyperlink>
      <w:r w:rsidRPr="004579BD">
        <w:rPr>
          <w:rStyle w:val="Hyperlink"/>
          <w:rFonts w:ascii="David" w:hAnsi="David" w:cs="David"/>
          <w:color w:val="000000" w:themeColor="text1"/>
          <w:u w:val="none"/>
        </w:rPr>
        <w:t xml:space="preserve"> </w:t>
      </w:r>
      <w:r w:rsidRPr="004579BD">
        <w:rPr>
          <w:rStyle w:val="Hyperlink"/>
          <w:rFonts w:ascii="David" w:hAnsi="David" w:cs="David"/>
          <w:color w:val="000000" w:themeColor="text1"/>
          <w:u w:val="none"/>
          <w:rtl/>
        </w:rPr>
        <w:t>ל</w:t>
      </w:r>
      <w:r w:rsidRPr="004579BD">
        <w:rPr>
          <w:rStyle w:val="Hyperlink"/>
          <w:rFonts w:ascii="David" w:hAnsi="David" w:cs="David"/>
          <w:b/>
          <w:bCs/>
          <w:color w:val="000000" w:themeColor="text1"/>
          <w:u w:val="none"/>
          <w:rtl/>
        </w:rPr>
        <w:t>חוק הכשרות המשפטית</w:t>
      </w:r>
      <w:r w:rsidRPr="004579BD">
        <w:rPr>
          <w:color w:val="000000" w:themeColor="text1"/>
          <w:rtl/>
        </w:rPr>
        <w:t>].</w:t>
      </w:r>
    </w:p>
    <w:p w:rsidR="007D3670" w:rsidRDefault="007D3670" w:rsidP="00790D6D">
      <w:pPr>
        <w:pStyle w:val="ae"/>
      </w:pPr>
    </w:p>
    <w:p w:rsidR="007D3670" w:rsidRPr="004579BD" w:rsidRDefault="007D3670" w:rsidP="00790D6D">
      <w:pPr>
        <w:pStyle w:val="ad"/>
        <w:numPr>
          <w:ilvl w:val="0"/>
          <w:numId w:val="1"/>
        </w:numPr>
        <w:spacing w:line="360" w:lineRule="auto"/>
        <w:jc w:val="both"/>
        <w:rPr>
          <w:rFonts w:ascii="David" w:hAnsi="David" w:cs="David"/>
          <w:sz w:val="24"/>
          <w:szCs w:val="24"/>
          <w:rtl/>
        </w:rPr>
      </w:pPr>
      <w:r w:rsidRPr="004579BD">
        <w:rPr>
          <w:rFonts w:ascii="David" w:hAnsi="David" w:cs="David"/>
          <w:sz w:val="24"/>
          <w:szCs w:val="24"/>
          <w:rtl/>
        </w:rPr>
        <w:t>זה מכבר נאמר שהכרעה בקביעת מקום מגורי קטין שהוריו נפרדו היא "</w:t>
      </w:r>
      <w:r w:rsidRPr="004579BD">
        <w:rPr>
          <w:rFonts w:ascii="Miriam" w:hAnsi="Miriam" w:cs="Miriam"/>
          <w:b/>
          <w:bCs/>
          <w:sz w:val="24"/>
          <w:szCs w:val="24"/>
          <w:rtl/>
        </w:rPr>
        <w:t>בבחינת הרע במיעוטו</w:t>
      </w:r>
      <w:r w:rsidRPr="004579BD">
        <w:rPr>
          <w:rFonts w:ascii="David" w:hAnsi="David" w:cs="David"/>
          <w:sz w:val="24"/>
          <w:szCs w:val="24"/>
          <w:rtl/>
        </w:rPr>
        <w:t>" [</w:t>
      </w:r>
      <w:hyperlink r:id="rId9" w:history="1">
        <w:r w:rsidRPr="004579BD">
          <w:rPr>
            <w:rStyle w:val="Hyperlink"/>
            <w:rFonts w:ascii="David" w:hAnsi="David" w:cs="David"/>
            <w:color w:val="auto"/>
            <w:sz w:val="24"/>
            <w:szCs w:val="24"/>
            <w:u w:val="none"/>
            <w:rtl/>
          </w:rPr>
          <w:t>רע"א 4575/00</w:t>
        </w:r>
      </w:hyperlink>
      <w:r w:rsidRPr="004579BD">
        <w:rPr>
          <w:rFonts w:ascii="David" w:hAnsi="David" w:cs="David"/>
          <w:sz w:val="24"/>
          <w:szCs w:val="24"/>
          <w:rtl/>
        </w:rPr>
        <w:t xml:space="preserve"> </w:t>
      </w:r>
      <w:r w:rsidRPr="004579BD">
        <w:rPr>
          <w:rFonts w:ascii="David" w:hAnsi="David" w:cs="David" w:hint="cs"/>
          <w:b/>
          <w:bCs/>
          <w:sz w:val="24"/>
          <w:szCs w:val="24"/>
          <w:rtl/>
        </w:rPr>
        <w:t>פלונית</w:t>
      </w:r>
      <w:r w:rsidRPr="004579BD">
        <w:rPr>
          <w:rFonts w:ascii="David" w:hAnsi="David" w:cs="David" w:hint="cs"/>
          <w:sz w:val="24"/>
          <w:szCs w:val="24"/>
          <w:rtl/>
        </w:rPr>
        <w:t xml:space="preserve"> נ' </w:t>
      </w:r>
      <w:r w:rsidRPr="004579BD">
        <w:rPr>
          <w:rFonts w:ascii="David" w:hAnsi="David" w:cs="David" w:hint="cs"/>
          <w:b/>
          <w:bCs/>
          <w:sz w:val="24"/>
          <w:szCs w:val="24"/>
          <w:rtl/>
        </w:rPr>
        <w:t>אלמוני</w:t>
      </w:r>
      <w:r w:rsidRPr="004579BD">
        <w:rPr>
          <w:rFonts w:ascii="David" w:hAnsi="David" w:cs="David" w:hint="cs"/>
          <w:sz w:val="24"/>
          <w:szCs w:val="24"/>
          <w:rtl/>
        </w:rPr>
        <w:t xml:space="preserve">, פ"ד נה(2) 321, 330, פסקה 11; </w:t>
      </w:r>
      <w:hyperlink r:id="rId10" w:history="1">
        <w:r w:rsidRPr="004579BD">
          <w:rPr>
            <w:rStyle w:val="Hyperlink"/>
            <w:rFonts w:ascii="David" w:hAnsi="David" w:cs="David"/>
            <w:color w:val="auto"/>
            <w:sz w:val="24"/>
            <w:szCs w:val="24"/>
            <w:u w:val="none"/>
            <w:rtl/>
          </w:rPr>
          <w:t>עמ"ש (י-ם) 516/09</w:t>
        </w:r>
      </w:hyperlink>
      <w:r w:rsidRPr="004579BD">
        <w:rPr>
          <w:rFonts w:ascii="David" w:hAnsi="David" w:cs="David"/>
          <w:sz w:val="24"/>
          <w:szCs w:val="24"/>
          <w:rtl/>
        </w:rPr>
        <w:t xml:space="preserve"> </w:t>
      </w:r>
      <w:r w:rsidRPr="004579BD">
        <w:rPr>
          <w:rFonts w:ascii="David" w:hAnsi="David" w:cs="David" w:hint="cs"/>
          <w:b/>
          <w:bCs/>
          <w:sz w:val="24"/>
          <w:szCs w:val="24"/>
          <w:rtl/>
        </w:rPr>
        <w:t>פלונית</w:t>
      </w:r>
      <w:r w:rsidRPr="004579BD">
        <w:rPr>
          <w:rFonts w:ascii="David" w:hAnsi="David" w:cs="David" w:hint="cs"/>
          <w:sz w:val="24"/>
          <w:szCs w:val="24"/>
          <w:rtl/>
        </w:rPr>
        <w:t xml:space="preserve"> </w:t>
      </w:r>
      <w:r w:rsidRPr="004579BD">
        <w:rPr>
          <w:rFonts w:ascii="David" w:hAnsi="David" w:cs="David" w:hint="cs"/>
          <w:b/>
          <w:bCs/>
          <w:sz w:val="24"/>
          <w:szCs w:val="24"/>
          <w:rtl/>
        </w:rPr>
        <w:t>נ' אלמוני</w:t>
      </w:r>
      <w:r w:rsidRPr="004579BD">
        <w:rPr>
          <w:rFonts w:ascii="David" w:hAnsi="David" w:cs="David" w:hint="cs"/>
          <w:sz w:val="24"/>
          <w:szCs w:val="24"/>
          <w:rtl/>
        </w:rPr>
        <w:t xml:space="preserve"> (פורסם בנבו, 20.5.10) פסקה 8]. כן נקבע שהמונח "טובת הילד" הוא</w:t>
      </w:r>
      <w:r w:rsidRPr="004579BD">
        <w:rPr>
          <w:sz w:val="24"/>
          <w:szCs w:val="24"/>
          <w:rtl/>
        </w:rPr>
        <w:t xml:space="preserve"> </w:t>
      </w:r>
      <w:r w:rsidRPr="004579BD">
        <w:rPr>
          <w:rFonts w:ascii="Times New Roman" w:hAnsi="Times New Roman"/>
          <w:sz w:val="24"/>
          <w:szCs w:val="24"/>
          <w:rtl/>
        </w:rPr>
        <w:t>"</w:t>
      </w:r>
      <w:r w:rsidRPr="004579BD">
        <w:rPr>
          <w:rFonts w:ascii="Miriam" w:hAnsi="Miriam" w:cs="Miriam"/>
          <w:b/>
          <w:bCs/>
          <w:sz w:val="24"/>
          <w:szCs w:val="24"/>
          <w:rtl/>
        </w:rPr>
        <w:t>מושג רחב ועמום, אשר עשוי לקבל משמעויות ופירושים שונים בהקשרים שונים, בהתאם למצב העובדתי בכל מקרה ומקרה ובתי המשפט נדרשים לצקת לתוכו תוכן בהתאם למקרה הפרטני העומד להכרעתם</w:t>
      </w:r>
      <w:r w:rsidRPr="004579BD">
        <w:rPr>
          <w:rFonts w:eastAsia="Arial Unicode MS"/>
          <w:sz w:val="24"/>
          <w:szCs w:val="24"/>
          <w:rtl/>
          <w:lang w:eastAsia="he-IL"/>
        </w:rPr>
        <w:t xml:space="preserve">" </w:t>
      </w:r>
      <w:r w:rsidRPr="004579BD">
        <w:rPr>
          <w:rFonts w:ascii="David" w:eastAsia="Arial Unicode MS" w:hAnsi="David" w:cs="David"/>
          <w:sz w:val="24"/>
          <w:szCs w:val="24"/>
          <w:rtl/>
          <w:lang w:eastAsia="he-IL"/>
        </w:rPr>
        <w:t xml:space="preserve">[בעמ 10060/07 </w:t>
      </w:r>
      <w:r w:rsidRPr="004579BD">
        <w:rPr>
          <w:rFonts w:ascii="David" w:eastAsia="Arial Unicode MS" w:hAnsi="David" w:cs="David"/>
          <w:b/>
          <w:bCs/>
          <w:sz w:val="24"/>
          <w:szCs w:val="24"/>
          <w:rtl/>
          <w:lang w:eastAsia="he-IL"/>
        </w:rPr>
        <w:t>פלונית נ' פלוני</w:t>
      </w:r>
      <w:r w:rsidRPr="004579BD">
        <w:rPr>
          <w:rFonts w:ascii="David" w:eastAsia="Arial Unicode MS" w:hAnsi="David" w:cs="David"/>
          <w:sz w:val="24"/>
          <w:szCs w:val="24"/>
          <w:rtl/>
          <w:lang w:eastAsia="he-IL"/>
        </w:rPr>
        <w:t xml:space="preserve"> (פורסם בנבו, 1.10.08) פסקה 30]</w:t>
      </w:r>
      <w:r w:rsidRPr="004579BD">
        <w:rPr>
          <w:rFonts w:eastAsia="Arial Unicode MS"/>
          <w:sz w:val="24"/>
          <w:szCs w:val="24"/>
          <w:rtl/>
          <w:lang w:eastAsia="he-IL"/>
        </w:rPr>
        <w:t>.</w:t>
      </w:r>
      <w:r w:rsidRPr="004579BD">
        <w:rPr>
          <w:sz w:val="24"/>
          <w:szCs w:val="24"/>
          <w:rtl/>
        </w:rPr>
        <w:t xml:space="preserve"> </w:t>
      </w:r>
      <w:r w:rsidRPr="004579BD">
        <w:rPr>
          <w:rFonts w:ascii="David" w:hAnsi="David" w:cs="David"/>
          <w:sz w:val="24"/>
          <w:szCs w:val="24"/>
          <w:rtl/>
        </w:rPr>
        <w:t xml:space="preserve">עוד נאמר שטובת הילד אינו מושג ערטילאי אלא </w:t>
      </w:r>
      <w:r w:rsidRPr="004579BD">
        <w:rPr>
          <w:rFonts w:ascii="Miriam" w:hAnsi="Miriam" w:cs="Miriam"/>
          <w:b/>
          <w:bCs/>
          <w:sz w:val="24"/>
          <w:szCs w:val="24"/>
          <w:rtl/>
        </w:rPr>
        <w:t>"הוא פרי של איזונים בין אינטרסים שונים של כל אחד מההורים ושל הילד. הילד אינו עומד בחלל ריק, קיימים גם להוריו זכויות.."</w:t>
      </w:r>
      <w:r w:rsidRPr="004579BD">
        <w:rPr>
          <w:rFonts w:ascii="David" w:hAnsi="David" w:cs="David"/>
          <w:sz w:val="24"/>
          <w:szCs w:val="24"/>
          <w:rtl/>
        </w:rPr>
        <w:t xml:space="preserve"> [</w:t>
      </w:r>
      <w:hyperlink r:id="rId11" w:history="1">
        <w:r w:rsidRPr="004579BD">
          <w:rPr>
            <w:rStyle w:val="Hyperlink"/>
            <w:rFonts w:ascii="David" w:hAnsi="David" w:cs="David"/>
            <w:color w:val="auto"/>
            <w:sz w:val="24"/>
            <w:szCs w:val="24"/>
            <w:u w:val="none"/>
            <w:rtl/>
          </w:rPr>
          <w:t>ע"מ (מחוזי באר שבע) 119/08</w:t>
        </w:r>
      </w:hyperlink>
      <w:r w:rsidRPr="004579BD">
        <w:rPr>
          <w:rFonts w:ascii="David" w:hAnsi="David" w:cs="David"/>
          <w:sz w:val="24"/>
          <w:szCs w:val="24"/>
          <w:rtl/>
        </w:rPr>
        <w:t xml:space="preserve"> </w:t>
      </w:r>
      <w:r w:rsidRPr="004579BD">
        <w:rPr>
          <w:rFonts w:ascii="David" w:hAnsi="David" w:cs="David" w:hint="cs"/>
          <w:b/>
          <w:bCs/>
          <w:sz w:val="24"/>
          <w:szCs w:val="24"/>
          <w:rtl/>
        </w:rPr>
        <w:t>פלוני</w:t>
      </w:r>
      <w:r w:rsidRPr="004579BD">
        <w:rPr>
          <w:rFonts w:ascii="David" w:hAnsi="David" w:cs="David" w:hint="cs"/>
          <w:sz w:val="24"/>
          <w:szCs w:val="24"/>
          <w:rtl/>
        </w:rPr>
        <w:t xml:space="preserve"> נ' </w:t>
      </w:r>
      <w:r w:rsidRPr="004579BD">
        <w:rPr>
          <w:rFonts w:ascii="David" w:hAnsi="David" w:cs="David" w:hint="cs"/>
          <w:b/>
          <w:bCs/>
          <w:sz w:val="24"/>
          <w:szCs w:val="24"/>
          <w:rtl/>
        </w:rPr>
        <w:t>פלונית</w:t>
      </w:r>
      <w:r w:rsidRPr="004579BD">
        <w:rPr>
          <w:rFonts w:ascii="David" w:hAnsi="David" w:cs="David" w:hint="cs"/>
          <w:sz w:val="24"/>
          <w:szCs w:val="24"/>
          <w:rtl/>
        </w:rPr>
        <w:t>, פורסם בנבו, 13.8.08 עמ' 7, (להלן: "</w:t>
      </w:r>
      <w:r w:rsidRPr="004579BD">
        <w:rPr>
          <w:rFonts w:ascii="David" w:hAnsi="David" w:cs="David" w:hint="cs"/>
          <w:b/>
          <w:bCs/>
          <w:sz w:val="24"/>
          <w:szCs w:val="24"/>
          <w:rtl/>
        </w:rPr>
        <w:t>עניין פלוני"</w:t>
      </w:r>
      <w:r w:rsidRPr="004579BD">
        <w:rPr>
          <w:rFonts w:ascii="David" w:hAnsi="David" w:cs="David" w:hint="cs"/>
          <w:sz w:val="24"/>
          <w:szCs w:val="24"/>
          <w:rtl/>
        </w:rPr>
        <w:t>)]</w:t>
      </w:r>
      <w:r w:rsidRPr="004579BD">
        <w:rPr>
          <w:rFonts w:ascii="Miriam" w:hAnsi="Miriam" w:cs="Miriam"/>
          <w:b/>
          <w:bCs/>
          <w:sz w:val="24"/>
          <w:szCs w:val="24"/>
          <w:rtl/>
        </w:rPr>
        <w:t xml:space="preserve">. </w:t>
      </w:r>
      <w:r w:rsidRPr="004579BD">
        <w:rPr>
          <w:rFonts w:ascii="David" w:hAnsi="David" w:cs="David"/>
          <w:sz w:val="24"/>
          <w:szCs w:val="24"/>
          <w:rtl/>
        </w:rPr>
        <w:t>כן נפסק שלצורך הכרעה בהעתקת מקום מגוריו של קטין על בית המשפט לאזן בין שלוש זכויות: הראשונה, זכות הילד לקיים קשר יציב, רצוף, משמעותי ותקין עם שני הוריו; השנייה, זכות ההורה המבקש את המעבר לעצב את תמונת חייו; השלישית, זכות ההורה האחר לקיים קשר משמעותי עם ילדו [</w:t>
      </w:r>
      <w:hyperlink r:id="rId12" w:history="1">
        <w:r w:rsidRPr="004579BD">
          <w:rPr>
            <w:rStyle w:val="Hyperlink"/>
            <w:rFonts w:ascii="David" w:hAnsi="David" w:cs="David"/>
            <w:color w:val="auto"/>
            <w:sz w:val="24"/>
            <w:szCs w:val="24"/>
            <w:u w:val="none"/>
            <w:rtl/>
          </w:rPr>
          <w:t>בע"מ 27/06</w:t>
        </w:r>
      </w:hyperlink>
      <w:r w:rsidRPr="004579BD">
        <w:rPr>
          <w:rFonts w:ascii="David" w:hAnsi="David" w:cs="David"/>
          <w:sz w:val="24"/>
          <w:szCs w:val="24"/>
          <w:rtl/>
        </w:rPr>
        <w:t xml:space="preserve"> </w:t>
      </w:r>
      <w:r w:rsidRPr="004579BD">
        <w:rPr>
          <w:rFonts w:ascii="David" w:hAnsi="David" w:cs="David" w:hint="cs"/>
          <w:b/>
          <w:bCs/>
          <w:sz w:val="24"/>
          <w:szCs w:val="24"/>
          <w:rtl/>
        </w:rPr>
        <w:t>פלוני נ' פלוני</w:t>
      </w:r>
      <w:r w:rsidRPr="004579BD">
        <w:rPr>
          <w:rFonts w:ascii="David" w:hAnsi="David" w:cs="David" w:hint="cs"/>
          <w:sz w:val="24"/>
          <w:szCs w:val="24"/>
          <w:rtl/>
        </w:rPr>
        <w:t xml:space="preserve"> (פורסם </w:t>
      </w:r>
      <w:r w:rsidRPr="004579BD">
        <w:rPr>
          <w:rFonts w:ascii="Times New Roman" w:hAnsi="Times New Roman" w:cs="David"/>
          <w:szCs w:val="24"/>
          <w:rtl/>
        </w:rPr>
        <w:t>בנבו</w:t>
      </w:r>
      <w:r w:rsidRPr="004579BD">
        <w:rPr>
          <w:rFonts w:ascii="David" w:hAnsi="David" w:cs="David"/>
          <w:sz w:val="24"/>
          <w:szCs w:val="24"/>
          <w:rtl/>
        </w:rPr>
        <w:t xml:space="preserve">, 1.5.06); </w:t>
      </w:r>
      <w:hyperlink r:id="rId13" w:history="1">
        <w:r w:rsidRPr="004579BD">
          <w:rPr>
            <w:rStyle w:val="Hyperlink"/>
            <w:rFonts w:ascii="David" w:hAnsi="David" w:cs="David"/>
            <w:color w:val="auto"/>
            <w:sz w:val="24"/>
            <w:szCs w:val="24"/>
            <w:u w:val="none"/>
            <w:rtl/>
          </w:rPr>
          <w:t>תלה"מ (צפת) 10308-03-17</w:t>
        </w:r>
      </w:hyperlink>
      <w:r w:rsidRPr="004579BD">
        <w:rPr>
          <w:rFonts w:ascii="David" w:hAnsi="David" w:cs="David"/>
          <w:sz w:val="24"/>
          <w:szCs w:val="24"/>
          <w:rtl/>
        </w:rPr>
        <w:t xml:space="preserve"> </w:t>
      </w:r>
      <w:r w:rsidRPr="004579BD">
        <w:rPr>
          <w:rFonts w:ascii="David" w:hAnsi="David" w:cs="David" w:hint="cs"/>
          <w:b/>
          <w:bCs/>
          <w:sz w:val="24"/>
          <w:szCs w:val="24"/>
          <w:rtl/>
        </w:rPr>
        <w:t xml:space="preserve">פלוני נ' אלמונית </w:t>
      </w:r>
      <w:r w:rsidRPr="004579BD">
        <w:rPr>
          <w:rFonts w:ascii="David" w:hAnsi="David" w:cs="David" w:hint="cs"/>
          <w:sz w:val="24"/>
          <w:szCs w:val="24"/>
          <w:rtl/>
        </w:rPr>
        <w:t xml:space="preserve">(פורסם </w:t>
      </w:r>
      <w:r w:rsidRPr="004579BD">
        <w:rPr>
          <w:rFonts w:ascii="Times New Roman" w:hAnsi="Times New Roman" w:cs="David"/>
          <w:szCs w:val="24"/>
          <w:rtl/>
        </w:rPr>
        <w:t>בנבו, 9.7.17)]</w:t>
      </w:r>
      <w:r w:rsidRPr="004579BD">
        <w:rPr>
          <w:rFonts w:ascii="David" w:hAnsi="David" w:cs="David"/>
          <w:sz w:val="24"/>
          <w:szCs w:val="24"/>
          <w:rtl/>
        </w:rPr>
        <w:t>.</w:t>
      </w:r>
    </w:p>
    <w:p w:rsidR="007D3670" w:rsidRDefault="007D3670" w:rsidP="00790D6D">
      <w:pPr>
        <w:pStyle w:val="ae"/>
        <w:rPr>
          <w:rtl/>
        </w:rPr>
      </w:pPr>
    </w:p>
    <w:p w:rsidR="004579BD" w:rsidRDefault="004579BD" w:rsidP="00790D6D">
      <w:pPr>
        <w:pStyle w:val="ae"/>
        <w:rPr>
          <w:rtl/>
        </w:rPr>
      </w:pPr>
    </w:p>
    <w:p w:rsidR="004579BD" w:rsidRDefault="004579BD" w:rsidP="00790D6D">
      <w:pPr>
        <w:pStyle w:val="ae"/>
      </w:pPr>
    </w:p>
    <w:p w:rsidR="007D3670" w:rsidRDefault="007D3670" w:rsidP="00790D6D">
      <w:pPr>
        <w:pStyle w:val="ae"/>
        <w:numPr>
          <w:ilvl w:val="0"/>
          <w:numId w:val="1"/>
        </w:numPr>
      </w:pPr>
      <w:r>
        <w:rPr>
          <w:rFonts w:hint="cs"/>
          <w:rtl/>
        </w:rPr>
        <w:lastRenderedPageBreak/>
        <w:t xml:space="preserve">קיימות שתי גישות בפסיקה בהכרעה בסוגיית העתקת מקום מגוריו של קטין. הראשונה היא גישת 'המעשה העשוי' לפיה בהינתן זכות ההורים לשנות מקום מגוריהם יש לבחון את מצב הדברים כאילו כבר העתיק ההורה מקום מגוריו [עמ"ש (נצרת) 9963-06-11 </w:t>
      </w:r>
      <w:r>
        <w:rPr>
          <w:rFonts w:hint="cs"/>
          <w:b/>
          <w:bCs/>
          <w:rtl/>
        </w:rPr>
        <w:t>פלונית נ' אלמוני</w:t>
      </w:r>
      <w:r>
        <w:rPr>
          <w:rFonts w:hint="cs"/>
          <w:rtl/>
        </w:rPr>
        <w:t xml:space="preserve"> (פורסם בנבו, 10.8.11)]. ולפיה תבחן תביעה להעתקת מקום מגורי הקטין בשני מעגלים: האחד, יכולת הקטין לבצע את המעבר; השני, האם המעבר יגרום לפגיעה בקשר של הקטין </w:t>
      </w:r>
      <w:r w:rsidRPr="004579BD">
        <w:rPr>
          <w:rtl/>
        </w:rPr>
        <w:t>עם ההורה השני או לניתוקו מההורה השני [</w:t>
      </w:r>
      <w:hyperlink r:id="rId14" w:history="1">
        <w:r w:rsidRPr="004579BD">
          <w:rPr>
            <w:rStyle w:val="Hyperlink"/>
            <w:rFonts w:ascii="David" w:hAnsi="David" w:cs="David"/>
            <w:noProof/>
            <w:color w:val="auto"/>
            <w:u w:val="none"/>
            <w:rtl/>
          </w:rPr>
          <w:t>עמ"ש 25108-05-20</w:t>
        </w:r>
      </w:hyperlink>
      <w:r w:rsidRPr="004579BD">
        <w:rPr>
          <w:noProof/>
          <w:rtl/>
        </w:rPr>
        <w:t xml:space="preserve"> </w:t>
      </w:r>
      <w:r w:rsidRPr="004579BD">
        <w:rPr>
          <w:b/>
          <w:bCs/>
          <w:noProof/>
          <w:rtl/>
        </w:rPr>
        <w:t>צ' נ' נ'</w:t>
      </w:r>
      <w:r w:rsidRPr="004579BD">
        <w:rPr>
          <w:noProof/>
          <w:rtl/>
        </w:rPr>
        <w:t xml:space="preserve"> (פורסם בנבו,</w:t>
      </w:r>
      <w:r w:rsidRPr="004579BD">
        <w:rPr>
          <w:rFonts w:ascii="Times New Roman" w:hAnsi="Times New Roman" w:hint="cs"/>
          <w:noProof/>
          <w:rtl/>
        </w:rPr>
        <w:t xml:space="preserve"> </w:t>
      </w:r>
      <w:r>
        <w:rPr>
          <w:rFonts w:hint="cs"/>
          <w:noProof/>
          <w:rtl/>
        </w:rPr>
        <w:t>30.8.20)</w:t>
      </w:r>
      <w:r>
        <w:rPr>
          <w:rFonts w:hint="cs"/>
          <w:rtl/>
        </w:rPr>
        <w:t xml:space="preserve">]. האחרת היא גישה הבוחנת את טובת הקטין טרם המעבר. קרי, על ההורה המבקש לשנות מקום מגוריו להוכיח שהמעבר המבוקש עולה בקנה אחד עם טובת הילד, וכי  התועלת מן המעבר גדולה מן הנזק [עמ"ש (י-ם) 35652-07-12 </w:t>
      </w:r>
      <w:r>
        <w:rPr>
          <w:rFonts w:hint="cs"/>
          <w:b/>
          <w:bCs/>
          <w:rtl/>
        </w:rPr>
        <w:t>א.ב.ח. נ' מ.ב.ח.</w:t>
      </w:r>
      <w:r>
        <w:rPr>
          <w:rFonts w:hint="cs"/>
          <w:rtl/>
        </w:rPr>
        <w:t xml:space="preserve"> (פורסם בנבו, 9.12.12)]. במחלוקת בין הגישות עדיפה עלי הגישה השנייה ולפיה תבחן התביעה לאור עיקרון טובת הקטין בלבד </w:t>
      </w:r>
      <w:r>
        <w:rPr>
          <w:rFonts w:eastAsia="Times New Roman" w:hint="cs"/>
          <w:rtl/>
        </w:rPr>
        <w:t xml:space="preserve">[רע"א 4575/00 </w:t>
      </w:r>
      <w:r>
        <w:rPr>
          <w:rFonts w:eastAsia="Times New Roman" w:hint="cs"/>
          <w:b/>
          <w:bCs/>
          <w:rtl/>
        </w:rPr>
        <w:t>פלונית נ' אלמוני</w:t>
      </w:r>
      <w:r>
        <w:rPr>
          <w:rFonts w:eastAsia="Times New Roman" w:hint="cs"/>
          <w:rtl/>
        </w:rPr>
        <w:t xml:space="preserve">, פ"ד נה (2) 321 (2001); </w:t>
      </w:r>
      <w:r>
        <w:rPr>
          <w:rFonts w:hint="cs"/>
          <w:rtl/>
        </w:rPr>
        <w:t xml:space="preserve">(עמ"ש (ת"א) 59552-06-20‏‏ </w:t>
      </w:r>
      <w:r>
        <w:rPr>
          <w:rFonts w:hint="cs"/>
          <w:b/>
          <w:bCs/>
          <w:rtl/>
        </w:rPr>
        <w:t>פלונית נ' פלוני</w:t>
      </w:r>
      <w:r>
        <w:rPr>
          <w:rFonts w:hint="cs"/>
          <w:rtl/>
        </w:rPr>
        <w:t xml:space="preserve"> (7.1.21)</w:t>
      </w:r>
      <w:r>
        <w:rPr>
          <w:rFonts w:eastAsia="Times New Roman" w:hint="cs"/>
          <w:rtl/>
        </w:rPr>
        <w:t xml:space="preserve">] </w:t>
      </w:r>
      <w:r>
        <w:rPr>
          <w:rFonts w:hint="cs"/>
          <w:rtl/>
        </w:rPr>
        <w:t>ומצטרפת אני לשיקולים שפירט כבוד השופט סילמן ב</w:t>
      </w:r>
      <w:r>
        <w:rPr>
          <w:rFonts w:ascii="Times New Roman" w:eastAsia="Times New Roman" w:hAnsi="Times New Roman" w:hint="cs"/>
          <w:rtl/>
          <w:lang w:eastAsia="he-IL"/>
        </w:rPr>
        <w:t xml:space="preserve">תמ"ש 8958-11-16 </w:t>
      </w:r>
      <w:r>
        <w:rPr>
          <w:rFonts w:ascii="Times New Roman" w:eastAsia="Times New Roman" w:hAnsi="Times New Roman" w:hint="cs"/>
          <w:b/>
          <w:bCs/>
          <w:rtl/>
          <w:lang w:eastAsia="he-IL"/>
        </w:rPr>
        <w:t>ל.א נ' ב.א</w:t>
      </w:r>
      <w:r>
        <w:rPr>
          <w:rFonts w:ascii="Times New Roman" w:eastAsia="Times New Roman" w:hAnsi="Times New Roman" w:hint="cs"/>
          <w:rtl/>
          <w:lang w:eastAsia="he-IL"/>
        </w:rPr>
        <w:t xml:space="preserve"> (פורסם בנבו, 25.7.17).  מכל מקום, הקו העולה מהפסיקה הוא ברור ולפיו אל מול הזכות של הנתבעת להעתיק את מקום מגוריה לעיר </w:t>
      </w:r>
      <w:r w:rsidR="00041CED">
        <w:rPr>
          <w:rFonts w:ascii="Times New Roman" w:eastAsia="Times New Roman" w:hAnsi="Times New Roman" w:hint="cs"/>
          <w:lang w:eastAsia="he-IL"/>
        </w:rPr>
        <w:t>Z</w:t>
      </w:r>
      <w:r>
        <w:rPr>
          <w:rFonts w:ascii="Times New Roman" w:eastAsia="Times New Roman" w:hAnsi="Times New Roman" w:hint="cs"/>
          <w:rtl/>
          <w:lang w:eastAsia="he-IL"/>
        </w:rPr>
        <w:t xml:space="preserve"> יש לבחון את השפעת המעבר על</w:t>
      </w:r>
      <w:r w:rsidR="00AB2091">
        <w:rPr>
          <w:rFonts w:ascii="Times New Roman" w:eastAsia="Times New Roman" w:hAnsi="Times New Roman" w:hint="cs"/>
          <w:rtl/>
          <w:lang w:eastAsia="he-IL"/>
        </w:rPr>
        <w:t xml:space="preserve"> הקטינות ועל</w:t>
      </w:r>
      <w:r>
        <w:rPr>
          <w:rFonts w:ascii="Times New Roman" w:eastAsia="Times New Roman" w:hAnsi="Times New Roman" w:hint="cs"/>
          <w:rtl/>
          <w:lang w:eastAsia="he-IL"/>
        </w:rPr>
        <w:t xml:space="preserve"> היקף וטיב הקשר האפשרי בין התובע לבין הקטינות.</w:t>
      </w:r>
    </w:p>
    <w:p w:rsidR="007D3670" w:rsidRDefault="007D3670" w:rsidP="00790D6D">
      <w:pPr>
        <w:pStyle w:val="ae"/>
      </w:pPr>
    </w:p>
    <w:p w:rsidR="007D3670" w:rsidRDefault="007D3670" w:rsidP="00790D6D">
      <w:pPr>
        <w:pStyle w:val="ae"/>
        <w:numPr>
          <w:ilvl w:val="0"/>
          <w:numId w:val="1"/>
        </w:numPr>
        <w:rPr>
          <w:rFonts w:eastAsia="Arial Unicode MS"/>
          <w:lang w:eastAsia="he-IL"/>
        </w:rPr>
      </w:pPr>
      <w:r>
        <w:rPr>
          <w:rFonts w:hint="cs"/>
          <w:rtl/>
        </w:rPr>
        <w:t xml:space="preserve">בבחינת "טובת הילד" ראש וראשון יש לפנות לנתונים המקצועיים. </w:t>
      </w:r>
      <w:r>
        <w:rPr>
          <w:rFonts w:eastAsia="Times New Roman" w:hint="cs"/>
          <w:rtl/>
        </w:rPr>
        <w:t>עו"ס לסדרי דין פועלת בבחינת מומחית לעניין טובת הקטין</w:t>
      </w:r>
      <w:r>
        <w:rPr>
          <w:rFonts w:hint="cs"/>
          <w:rtl/>
        </w:rPr>
        <w:t xml:space="preserve"> [לעניין מעמדו של תסקיר בדומה לחוות דעת מומחה </w:t>
      </w:r>
      <w:r w:rsidRPr="004579BD">
        <w:rPr>
          <w:rtl/>
        </w:rPr>
        <w:t xml:space="preserve">ראו </w:t>
      </w:r>
      <w:hyperlink r:id="rId15" w:history="1">
        <w:r w:rsidRPr="004579BD">
          <w:rPr>
            <w:rStyle w:val="Hyperlink"/>
            <w:rFonts w:ascii="David" w:hAnsi="David" w:cs="David"/>
            <w:color w:val="auto"/>
            <w:u w:val="none"/>
            <w:rtl/>
          </w:rPr>
          <w:t>בע"מ 5072/10</w:t>
        </w:r>
      </w:hyperlink>
      <w:r w:rsidRPr="004579BD">
        <w:rPr>
          <w:rtl/>
        </w:rPr>
        <w:t xml:space="preserve"> </w:t>
      </w:r>
      <w:r w:rsidRPr="004579BD">
        <w:rPr>
          <w:b/>
          <w:bCs/>
          <w:rtl/>
        </w:rPr>
        <w:t>פלוני נ' פלוני</w:t>
      </w:r>
      <w:r w:rsidRPr="004579BD">
        <w:rPr>
          <w:rtl/>
        </w:rPr>
        <w:t>, (פורסם בנבו,26.10.10)].</w:t>
      </w:r>
      <w:r w:rsidRPr="004579BD">
        <w:t xml:space="preserve"> </w:t>
      </w:r>
      <w:r w:rsidRPr="004579BD">
        <w:rPr>
          <w:rtl/>
        </w:rPr>
        <w:t xml:space="preserve">בית המשפט הוא הקובע גם בשאלות שבמומחיות, ואף אם מוגשת חוות דעת  מומחה, אין השופט פטור מהפעלת שיקול דעת שיפוטי  עצמאי עת שנדרש הוא להכריע בעניין קטין. כבר נפסק כי אכן חוות הדעת משמשת כלי עזר חיוני אשר תזכה למשקל נכבד, אך לא מכריע, שכן בית המשפט אינו "חותמת הגומי" לעמדתו של המומחה המקצועי [ראו למשל </w:t>
      </w:r>
      <w:hyperlink r:id="rId16" w:history="1">
        <w:r w:rsidRPr="004579BD">
          <w:rPr>
            <w:rStyle w:val="Hyperlink"/>
            <w:rFonts w:ascii="David" w:hAnsi="David" w:cs="David"/>
            <w:color w:val="auto"/>
            <w:u w:val="none"/>
            <w:rtl/>
          </w:rPr>
          <w:t>בע"מ 27/07</w:t>
        </w:r>
      </w:hyperlink>
      <w:r w:rsidRPr="004579BD">
        <w:rPr>
          <w:rtl/>
        </w:rPr>
        <w:t xml:space="preserve"> </w:t>
      </w:r>
      <w:r w:rsidRPr="004579BD">
        <w:rPr>
          <w:b/>
          <w:bCs/>
          <w:rtl/>
        </w:rPr>
        <w:t>פלוני נ' פלונית</w:t>
      </w:r>
      <w:r w:rsidRPr="004579BD">
        <w:rPr>
          <w:rtl/>
        </w:rPr>
        <w:t xml:space="preserve"> (פורסם בנבו, 1.5.06), שאומץ ב</w:t>
      </w:r>
      <w:hyperlink r:id="rId17" w:history="1">
        <w:r w:rsidRPr="004579BD">
          <w:rPr>
            <w:rStyle w:val="Hyperlink"/>
            <w:rFonts w:ascii="David" w:hAnsi="David" w:cs="David"/>
            <w:color w:val="auto"/>
            <w:u w:val="none"/>
            <w:rtl/>
          </w:rPr>
          <w:t>דנ"א 1892/11</w:t>
        </w:r>
      </w:hyperlink>
      <w:r w:rsidRPr="004579BD">
        <w:rPr>
          <w:rtl/>
        </w:rPr>
        <w:t xml:space="preserve"> </w:t>
      </w:r>
      <w:r w:rsidRPr="004579BD">
        <w:rPr>
          <w:b/>
          <w:bCs/>
          <w:rtl/>
        </w:rPr>
        <w:t>היועץ המשפטי לממשלה נ' פלונית</w:t>
      </w:r>
      <w:r w:rsidRPr="004579BD">
        <w:rPr>
          <w:rtl/>
        </w:rPr>
        <w:t xml:space="preserve"> (פורסם</w:t>
      </w:r>
      <w:r w:rsidRPr="004579BD">
        <w:rPr>
          <w:rFonts w:hint="cs"/>
          <w:rtl/>
        </w:rPr>
        <w:t xml:space="preserve"> </w:t>
      </w:r>
      <w:r>
        <w:rPr>
          <w:rFonts w:hint="cs"/>
          <w:rtl/>
        </w:rPr>
        <w:t xml:space="preserve">בנבו, 22.5.11)]. עם זאת, </w:t>
      </w:r>
      <w:r>
        <w:rPr>
          <w:rFonts w:eastAsia="Times New Roman" w:hint="cs"/>
          <w:rtl/>
        </w:rPr>
        <w:t>בהתאם לפסיקה בית המשפט יסטה מהמלצות העו"ס בתסקיר רק אם "</w:t>
      </w:r>
      <w:r>
        <w:rPr>
          <w:rFonts w:ascii="Miriam" w:eastAsia="Times New Roman" w:hAnsi="Miriam" w:cs="Miriam"/>
          <w:b/>
          <w:bCs/>
          <w:rtl/>
        </w:rPr>
        <w:t>קיימים טעמים נכבדים ובעלי משקל ממשי, המצדיקים סטייה מאותה המלצה</w:t>
      </w:r>
      <w:r>
        <w:rPr>
          <w:rFonts w:eastAsia="Times New Roman" w:hint="cs"/>
          <w:rtl/>
        </w:rPr>
        <w:t xml:space="preserve">" [בע"מ 9358/04 </w:t>
      </w:r>
      <w:r>
        <w:rPr>
          <w:rFonts w:eastAsia="Times New Roman" w:hint="cs"/>
          <w:b/>
          <w:bCs/>
          <w:rtl/>
        </w:rPr>
        <w:t>פלונית נ' פלוני</w:t>
      </w:r>
      <w:r>
        <w:rPr>
          <w:rFonts w:eastAsia="Times New Roman" w:hint="cs"/>
          <w:rtl/>
        </w:rPr>
        <w:t xml:space="preserve"> (פורסם בנבו, 2.5.05); בע"מ 4259/06‏ </w:t>
      </w:r>
      <w:r>
        <w:rPr>
          <w:rFonts w:eastAsia="Times New Roman" w:hint="cs"/>
          <w:b/>
          <w:bCs/>
          <w:rtl/>
        </w:rPr>
        <w:t>פלוני נ' היועץ המשפטי לממשלה</w:t>
      </w:r>
      <w:r>
        <w:rPr>
          <w:rFonts w:eastAsia="Times New Roman" w:hint="cs"/>
          <w:rtl/>
        </w:rPr>
        <w:t xml:space="preserve"> (פורסם בנבו, 13.7.06)].</w:t>
      </w:r>
      <w:r>
        <w:rPr>
          <w:rFonts w:eastAsia="Arial Unicode MS" w:hint="cs"/>
          <w:rtl/>
          <w:lang w:eastAsia="he-IL"/>
        </w:rPr>
        <w:t xml:space="preserve"> </w:t>
      </w:r>
      <w:r>
        <w:rPr>
          <w:rFonts w:hint="cs"/>
          <w:rtl/>
        </w:rPr>
        <w:t>דהיינו, ככלל, בהעדר נימוק משכנע לקביעה שונה, מן הראוי כי בית המשפט יאמץ את המלצת המומחים לדבר</w:t>
      </w:r>
      <w:r>
        <w:rPr>
          <w:rFonts w:asciiTheme="minorHAnsi" w:hAnsiTheme="minorHAnsi" w:hint="cs"/>
          <w:rtl/>
        </w:rPr>
        <w:t>.</w:t>
      </w:r>
    </w:p>
    <w:p w:rsidR="007D3670" w:rsidRDefault="007D3670" w:rsidP="00790D6D">
      <w:pPr>
        <w:pStyle w:val="ae"/>
      </w:pPr>
    </w:p>
    <w:p w:rsidR="004579BD" w:rsidRDefault="007D3670" w:rsidP="00790D6D">
      <w:pPr>
        <w:numPr>
          <w:ilvl w:val="0"/>
          <w:numId w:val="1"/>
        </w:numPr>
        <w:spacing w:line="360" w:lineRule="auto"/>
        <w:jc w:val="both"/>
        <w:rPr>
          <w:rFonts w:eastAsia="Arial Unicode MS"/>
          <w:lang w:eastAsia="he-IL"/>
        </w:rPr>
      </w:pPr>
      <w:r>
        <w:rPr>
          <w:rFonts w:hint="cs"/>
          <w:rtl/>
        </w:rPr>
        <w:t>בענייננו, העו"ס לסדרי דין שבחנה את טובת הקטינות הקונקרטיות העומדות לדיון, התרשמה שטובתן היא בדחיית התביעה משום "</w:t>
      </w:r>
      <w:r>
        <w:rPr>
          <w:rFonts w:hint="cs"/>
          <w:b/>
          <w:bCs/>
          <w:rtl/>
        </w:rPr>
        <w:t>שהמעבר לא יעלה בקנה אחד עם טובת הבנות וצרכיהן</w:t>
      </w:r>
      <w:r>
        <w:rPr>
          <w:rFonts w:hint="cs"/>
          <w:rtl/>
        </w:rPr>
        <w:t xml:space="preserve">". </w:t>
      </w:r>
      <w:r>
        <w:rPr>
          <w:rFonts w:eastAsia="Arial Unicode MS" w:hint="cs"/>
          <w:rtl/>
          <w:lang w:eastAsia="he-IL"/>
        </w:rPr>
        <w:t xml:space="preserve">העו"ס מצאה שלקטינות יהיה קושי לבצע את המעבר לאור מצבן הרגשי והקושי שלהן להתמודד עם שינויים. </w:t>
      </w:r>
    </w:p>
    <w:p w:rsidR="007D3670" w:rsidRDefault="007D3670" w:rsidP="00790D6D">
      <w:pPr>
        <w:spacing w:line="360" w:lineRule="auto"/>
        <w:ind w:left="720"/>
        <w:jc w:val="both"/>
        <w:rPr>
          <w:rFonts w:eastAsia="Arial Unicode MS"/>
          <w:rtl/>
          <w:lang w:eastAsia="he-IL"/>
        </w:rPr>
      </w:pPr>
      <w:r>
        <w:rPr>
          <w:rFonts w:eastAsia="Arial Unicode MS" w:hint="cs"/>
          <w:rtl/>
          <w:lang w:eastAsia="he-IL"/>
        </w:rPr>
        <w:lastRenderedPageBreak/>
        <w:t xml:space="preserve">כן מצאה העו"ס שהמעבר </w:t>
      </w:r>
      <w:r>
        <w:rPr>
          <w:rFonts w:hint="cs"/>
          <w:rtl/>
        </w:rPr>
        <w:t>"</w:t>
      </w:r>
      <w:r>
        <w:rPr>
          <w:rFonts w:hint="cs"/>
          <w:b/>
          <w:bCs/>
          <w:rtl/>
        </w:rPr>
        <w:t>עשוי לגרום לפגיעה משמעותית באיכות חייהן</w:t>
      </w:r>
      <w:r>
        <w:rPr>
          <w:rFonts w:hint="cs"/>
          <w:rtl/>
        </w:rPr>
        <w:t>", ירחיק אותן ממרכז חייהן, מחברותיהן ומפעילויות חברתיות, ויאלץ אותן לבלות מידי יום שעות רבות בנסיעה למסגרת החינוכית ו"</w:t>
      </w:r>
      <w:r>
        <w:rPr>
          <w:rFonts w:hint="cs"/>
          <w:b/>
          <w:bCs/>
          <w:rtl/>
        </w:rPr>
        <w:t>ישפיע על תחושת הביטחון והיציבות שלהן</w:t>
      </w:r>
      <w:r>
        <w:rPr>
          <w:rFonts w:hint="cs"/>
          <w:rtl/>
        </w:rPr>
        <w:t>". כן מצאה העו"ס שהמעבר "</w:t>
      </w:r>
      <w:r>
        <w:rPr>
          <w:rFonts w:hint="cs"/>
          <w:b/>
          <w:bCs/>
          <w:rtl/>
        </w:rPr>
        <w:t>עשוי גם לפגוע בזכותן של הבנות לממש קשר רציף, יציב ועקבי עם האב</w:t>
      </w:r>
      <w:r>
        <w:rPr>
          <w:rFonts w:hint="cs"/>
          <w:rtl/>
        </w:rPr>
        <w:t xml:space="preserve">" (עמד 12 לחוות הדעת). </w:t>
      </w:r>
    </w:p>
    <w:p w:rsidR="007D3670" w:rsidRDefault="007D3670" w:rsidP="00790D6D">
      <w:pPr>
        <w:pStyle w:val="ae"/>
        <w:rPr>
          <w:rFonts w:eastAsia="Arial Unicode MS"/>
          <w:lang w:eastAsia="he-IL"/>
        </w:rPr>
      </w:pPr>
    </w:p>
    <w:p w:rsidR="007D3670" w:rsidRDefault="007D3670" w:rsidP="00790D6D">
      <w:pPr>
        <w:numPr>
          <w:ilvl w:val="0"/>
          <w:numId w:val="1"/>
        </w:numPr>
        <w:spacing w:line="360" w:lineRule="auto"/>
        <w:jc w:val="both"/>
        <w:rPr>
          <w:rFonts w:eastAsia="Arial Unicode MS"/>
          <w:rtl/>
          <w:lang w:eastAsia="he-IL"/>
        </w:rPr>
      </w:pPr>
      <w:r>
        <w:rPr>
          <w:rFonts w:ascii="Arial" w:hAnsi="Arial" w:hint="cs"/>
          <w:rtl/>
        </w:rPr>
        <w:t>לאחר העיון בתסקיר וההתרשמות הישירה מתשובותיה של העו"ס לשאלות התובעת בדיון סבורתני כי לא רק שלא הוצגו "</w:t>
      </w:r>
      <w:r>
        <w:rPr>
          <w:rFonts w:ascii="Miriam" w:hAnsi="Miriam" w:cs="Miriam"/>
          <w:b/>
          <w:bCs/>
          <w:rtl/>
        </w:rPr>
        <w:t>טעמים נכבדים ובעלי משקל ממשי</w:t>
      </w:r>
      <w:r>
        <w:rPr>
          <w:rFonts w:ascii="Arial" w:hAnsi="Arial" w:hint="cs"/>
          <w:rtl/>
        </w:rPr>
        <w:t xml:space="preserve">" המצדיקים לסטות מההמלצות (וזוהי אמת המידה המשפטית), אלא שגם מדובר בהמלצות ראויות ומסתברות בנסיבות, המשקפות כראוי את טובת הקטינות ויש לאמצן לגופן. </w:t>
      </w:r>
    </w:p>
    <w:p w:rsidR="007D3670" w:rsidRDefault="007D3670" w:rsidP="00790D6D">
      <w:pPr>
        <w:spacing w:line="360" w:lineRule="auto"/>
        <w:ind w:left="720"/>
        <w:rPr>
          <w:rFonts w:eastAsia="Arial Unicode MS"/>
          <w:lang w:eastAsia="he-IL"/>
        </w:rPr>
      </w:pPr>
    </w:p>
    <w:p w:rsidR="007D3670" w:rsidRDefault="007D3670" w:rsidP="00790D6D">
      <w:pPr>
        <w:numPr>
          <w:ilvl w:val="0"/>
          <w:numId w:val="1"/>
        </w:numPr>
        <w:spacing w:line="360" w:lineRule="auto"/>
        <w:jc w:val="both"/>
        <w:rPr>
          <w:rFonts w:eastAsia="Arial Unicode MS"/>
          <w:lang w:eastAsia="he-IL"/>
        </w:rPr>
      </w:pPr>
      <w:r>
        <w:rPr>
          <w:rFonts w:eastAsia="Arial Unicode MS" w:hint="cs"/>
          <w:rtl/>
          <w:lang w:eastAsia="he-IL"/>
        </w:rPr>
        <w:t xml:space="preserve">הצדדים מתגוררים מרחק של מאות מטרים זמ"ז, והקטינות מחלקות את זמנן ביניהם באופן שווה. כעולה מהתסקיר סמיכות המגורים מאפשרת לקטינות לעבור בין בתי הצדדים (על מנת ליטול חפצים) גם בימים שהן עם ההורה האחר (עמ' 5 לתסקיר). חלוקת זמני השהות של הקטינות בין הצדדים כפי שהיא מתקיימת כיום מטיבה מאוד עם הקטינות ומאפשרת להן קשר משמעותי ואיכותי עם שני הוריהן. שני הצדדים לוקחים חלק משמעותי ושווה בחיי הקטינות, שניהם מעורבים מאוד בחייהן, בגידולן ובחינוכן ומהווים דמויות יציבות ומשמעותיות בחייהן והקטינות חוות אותם ככאלה ונהנות מהסדר זה. </w:t>
      </w:r>
    </w:p>
    <w:p w:rsidR="007D3670" w:rsidRDefault="007D3670" w:rsidP="00790D6D">
      <w:pPr>
        <w:pStyle w:val="ae"/>
        <w:rPr>
          <w:rFonts w:eastAsia="Arial Unicode MS"/>
          <w:lang w:eastAsia="he-IL"/>
        </w:rPr>
      </w:pPr>
    </w:p>
    <w:p w:rsidR="007D3670" w:rsidRDefault="007D3670" w:rsidP="00790D6D">
      <w:pPr>
        <w:pStyle w:val="ae"/>
        <w:numPr>
          <w:ilvl w:val="0"/>
          <w:numId w:val="1"/>
        </w:numPr>
      </w:pPr>
      <w:r>
        <w:rPr>
          <w:rFonts w:hint="cs"/>
          <w:rtl/>
        </w:rPr>
        <w:t xml:space="preserve">העו"ס הדגישה את הרגישות של הבנות והקושי (במיוחד של הקטינה </w:t>
      </w:r>
      <w:r w:rsidR="00041CED">
        <w:rPr>
          <w:rFonts w:hint="cs"/>
        </w:rPr>
        <w:t>X</w:t>
      </w:r>
      <w:r>
        <w:rPr>
          <w:rFonts w:hint="cs"/>
          <w:rtl/>
        </w:rPr>
        <w:t>) להתמודד עם פרידות ושינויים, וכי לאור לידת האחות (מבן זוגה של האם) ממילא נדרשות הבנות להסתגל למערך המשפחתי שהשתנה.</w:t>
      </w:r>
      <w:r>
        <w:rPr>
          <w:rFonts w:eastAsia="Arial Unicode MS" w:hint="cs"/>
          <w:rtl/>
          <w:lang w:eastAsia="he-IL"/>
        </w:rPr>
        <w:t xml:space="preserve"> העו"ס פירטה את מצבן הרגשי של הקטינות המצריך טיפול והדגישה את התרומה של סמיכות מקום מגורי הצדדים על מצבן ועל "האיזון העדין שנוצר במרקם חייהן":</w:t>
      </w:r>
      <w:r>
        <w:rPr>
          <w:rFonts w:hint="cs"/>
          <w:rtl/>
        </w:rPr>
        <w:t xml:space="preserve"> "</w:t>
      </w:r>
      <w:r>
        <w:rPr>
          <w:rFonts w:hint="cs"/>
          <w:b/>
          <w:bCs/>
          <w:rtl/>
        </w:rPr>
        <w:t>מעבר לכך, ניכר כי שתי הבנות לרוב מצליחות להכיל בתוכן באופן תקין ובריא את היות הוריהן גרושים ואת העובדה שחולקות זמני שהות בשני בתים. לאורך התהליך עלה כי כיום הבנות מקיימות קשר רציף, עקבי ויציב עם שני ההורים ונהנות ונתרמות מזמני שהות עם כל אחד מהם. בולט כי לשני ההורים חלק בכך. קיימת סבירות כי האיזון העדין שנוצר במרקם חייהן, התאפשר לאור העובדה שכיום שני ההורים מתגוררים בסמיכות אחד לשני ולמרכז חייהן של הבנות – בכללו – המסגרות החינוכיות, תנועות הנוער, החוגים והחברות</w:t>
      </w:r>
      <w:r>
        <w:rPr>
          <w:rFonts w:hint="cs"/>
          <w:rtl/>
        </w:rPr>
        <w:t>" (עמ' 11). בחקירתה הבהירה העו"ס שמצב דברים זה מאפשר לקטינות להחזיק את מציאות חייהן, מקל עליהן ומשפר את איכות חייהן (עמ' 53 שורות 10-13  לפרוטוקול).</w:t>
      </w:r>
    </w:p>
    <w:p w:rsidR="004579BD" w:rsidRDefault="004579BD" w:rsidP="00790D6D">
      <w:pPr>
        <w:pStyle w:val="ae"/>
        <w:rPr>
          <w:rtl/>
        </w:rPr>
      </w:pPr>
    </w:p>
    <w:p w:rsidR="004579BD" w:rsidRDefault="004579BD" w:rsidP="00790D6D">
      <w:pPr>
        <w:pStyle w:val="ae"/>
        <w:rPr>
          <w:rtl/>
        </w:rPr>
      </w:pPr>
    </w:p>
    <w:p w:rsidR="007D3670" w:rsidRDefault="007D3670" w:rsidP="00790D6D">
      <w:pPr>
        <w:pStyle w:val="ae"/>
        <w:rPr>
          <w:rtl/>
        </w:rPr>
      </w:pPr>
      <w:r>
        <w:rPr>
          <w:rFonts w:hint="cs"/>
          <w:rtl/>
        </w:rPr>
        <w:lastRenderedPageBreak/>
        <w:t>המדובר בלבת המומחיות של העו"ס שלא מצאתי כל סיבה לסטות ממנה. הדברים גם מתיישבים עם הדינאמיקה הרעועה של יחסי הצדדים לאורך השנים שנתנה אותותיה על מצבן הרגשי של הקטינות והבנתם שזקוקים הם לטיפול משפחתי ושהקטינות זקוקות לטיפול רגשי.</w:t>
      </w:r>
    </w:p>
    <w:p w:rsidR="007D3670" w:rsidRDefault="007D3670" w:rsidP="00790D6D">
      <w:pPr>
        <w:spacing w:line="360" w:lineRule="auto"/>
        <w:ind w:left="720"/>
        <w:rPr>
          <w:rFonts w:eastAsia="Arial Unicode MS"/>
          <w:rtl/>
          <w:lang w:eastAsia="he-IL"/>
        </w:rPr>
      </w:pPr>
    </w:p>
    <w:p w:rsidR="007D3670" w:rsidRDefault="007D3670" w:rsidP="00790D6D">
      <w:pPr>
        <w:numPr>
          <w:ilvl w:val="0"/>
          <w:numId w:val="1"/>
        </w:numPr>
        <w:spacing w:line="360" w:lineRule="auto"/>
        <w:jc w:val="both"/>
        <w:rPr>
          <w:rFonts w:eastAsia="Arial Unicode MS"/>
          <w:lang w:eastAsia="he-IL"/>
        </w:rPr>
      </w:pPr>
      <w:r>
        <w:rPr>
          <w:rFonts w:eastAsia="Arial Unicode MS" w:hint="cs"/>
          <w:rtl/>
          <w:lang w:eastAsia="he-IL"/>
        </w:rPr>
        <w:t>כן מצאה העו"ס שהנסיעות הכרוכות במעבר יפגעו באיכות החיים של הקטינות. המרחק הגיאוגרפי בין מקום מגורי הצדדים כיום (הסמוך למסגרות החינוך של הקטינות) לבין מקום המגורים אליו מבקשת הנתבעת לעבור עומד על 37 ק"מ בקירוב. המחלוקת בין הצדדים נוגעת למשך הנסיעה מנקודה לנקודה. לטענת הנתבעת משך הנסיעה אינו עולה על 35-45 דקות לכל כיוון (משך הזמן שלוקח לדבריה לנסוע ביום א' מ</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xml:space="preserve"> למסגרות החינוך בתום סופ"ש שבילו בבית בן זוגה; סעיפים 111 ו- 129 לתצהיר עדותה הראשית). לעומתה טוען התובע שמשך הנסיעה עולה כדי למעלה משעה ורבע ועד שעה וארבעים בשעות הרלוונטיות שהן שעות העומס (סעיפים 61-63 לתצהיר עדותו הראשית). </w:t>
      </w:r>
    </w:p>
    <w:p w:rsidR="007D3670" w:rsidRDefault="007D3670" w:rsidP="00790D6D">
      <w:pPr>
        <w:spacing w:line="360" w:lineRule="auto"/>
        <w:ind w:left="720"/>
        <w:jc w:val="both"/>
        <w:rPr>
          <w:rFonts w:eastAsia="Arial Unicode MS"/>
          <w:lang w:eastAsia="he-IL"/>
        </w:rPr>
      </w:pPr>
      <w:r>
        <w:rPr>
          <w:rFonts w:eastAsia="Arial Unicode MS" w:hint="cs"/>
          <w:rtl/>
          <w:lang w:eastAsia="he-IL"/>
        </w:rPr>
        <w:t>העו"ס פירטה בתסקיר שבדקה באפליקציות שונות את משך הנסיעה "</w:t>
      </w:r>
      <w:r>
        <w:rPr>
          <w:rFonts w:eastAsia="Arial Unicode MS" w:hint="cs"/>
          <w:b/>
          <w:bCs/>
          <w:rtl/>
          <w:lang w:eastAsia="he-IL"/>
        </w:rPr>
        <w:t>בתאריכים שונים ובנקודות זמן שונות</w:t>
      </w:r>
      <w:r>
        <w:rPr>
          <w:rFonts w:eastAsia="Arial Unicode MS" w:hint="cs"/>
          <w:rtl/>
          <w:lang w:eastAsia="he-IL"/>
        </w:rPr>
        <w:t>" ומצאה שהוא "</w:t>
      </w:r>
      <w:r>
        <w:rPr>
          <w:rFonts w:eastAsia="Arial Unicode MS" w:hint="cs"/>
          <w:b/>
          <w:bCs/>
          <w:rtl/>
          <w:lang w:eastAsia="he-IL"/>
        </w:rPr>
        <w:t>נע בטווח של בין 40 דק' לשעה ומעלה</w:t>
      </w:r>
      <w:r>
        <w:rPr>
          <w:rFonts w:eastAsia="Arial Unicode MS" w:hint="cs"/>
          <w:rtl/>
          <w:lang w:eastAsia="he-IL"/>
        </w:rPr>
        <w:t>" (עמ' 10) והבהירה בחקירתה שהתבססה על הבדיקות שערכה (עמ' 22 שורות 14, ו- 29 לפרוטוקול). העו"ס מצאה שהמעבר יפגע באופן משמעותי באיכות חייהן: "</w:t>
      </w:r>
      <w:r>
        <w:rPr>
          <w:rFonts w:eastAsia="Arial Unicode MS" w:hint="cs"/>
          <w:b/>
          <w:bCs/>
          <w:rtl/>
          <w:lang w:eastAsia="he-IL"/>
        </w:rPr>
        <w:t>בהתחשב בכך שהבנות לומדות בשתי מסגרות חינוכיות שונות וככל הנראה תתווספנה נקודות עצירה שונות בהתאם ללו"ז הבנות (תנועת הנוער, מפגשים עם חברות, חוגים ועוד). המשמעות היא שהבנות תבלינה זמן רב במשך השבוע בנסיעות מביתן לירושלים וחזרה ממנה, כאשר מדובר על מעבר בין שתי ערים על כל הכרוך בכך (מפגעי דרך, כבישים חסומים, מחסום וכו'). הדבר עשוי לגרום לפגיעה משמעותית באיכות חייהן</w:t>
      </w:r>
      <w:r>
        <w:rPr>
          <w:rFonts w:eastAsia="Arial Unicode MS" w:hint="cs"/>
          <w:rtl/>
          <w:lang w:eastAsia="he-IL"/>
        </w:rPr>
        <w:t xml:space="preserve">". </w:t>
      </w:r>
    </w:p>
    <w:p w:rsidR="007D3670" w:rsidRDefault="007D3670" w:rsidP="00790D6D">
      <w:pPr>
        <w:spacing w:line="360" w:lineRule="auto"/>
        <w:ind w:left="720"/>
        <w:jc w:val="both"/>
        <w:rPr>
          <w:rFonts w:eastAsia="Arial Unicode MS"/>
          <w:rtl/>
          <w:lang w:eastAsia="he-IL"/>
        </w:rPr>
      </w:pPr>
      <w:r>
        <w:rPr>
          <w:rFonts w:eastAsia="Arial Unicode MS" w:hint="cs"/>
          <w:rtl/>
          <w:lang w:eastAsia="he-IL"/>
        </w:rPr>
        <w:t>הנתבעת חזרה על הטענה שישנם ילדים שגרים בשכונה אחת בירושלים ולומדים בשכונה אחרת והמרחק בין שני המקומות אינו נופל מהמרחק בין העיר</w:t>
      </w:r>
      <w:r w:rsidR="00041CED">
        <w:rPr>
          <w:rFonts w:eastAsia="Arial Unicode MS" w:hint="cs"/>
          <w:rtl/>
          <w:lang w:eastAsia="he-IL"/>
        </w:rPr>
        <w:t xml:space="preserve"> </w:t>
      </w:r>
      <w:r w:rsidR="00041CED">
        <w:rPr>
          <w:rFonts w:eastAsia="Arial Unicode MS" w:hint="cs"/>
          <w:lang w:eastAsia="he-IL"/>
        </w:rPr>
        <w:t>Z</w:t>
      </w:r>
      <w:r>
        <w:rPr>
          <w:rFonts w:eastAsia="Arial Unicode MS" w:hint="cs"/>
          <w:rtl/>
          <w:lang w:eastAsia="he-IL"/>
        </w:rPr>
        <w:t xml:space="preserve"> לבית הספר. העו"ס התייחסה לכך בתסקיר והסבירה שככלל כך נעשה בלית ברירה אחרת "</w:t>
      </w:r>
      <w:r>
        <w:rPr>
          <w:rFonts w:eastAsia="Arial Unicode MS" w:hint="cs"/>
          <w:b/>
          <w:bCs/>
          <w:rtl/>
          <w:lang w:eastAsia="he-IL"/>
        </w:rPr>
        <w:t xml:space="preserve">ולרוב לא בטווח גילאי ביה"ס היסודי בדומה לגילה של </w:t>
      </w:r>
      <w:r w:rsidR="00041CED">
        <w:rPr>
          <w:rFonts w:eastAsia="Arial Unicode MS" w:hint="cs"/>
          <w:b/>
          <w:bCs/>
          <w:lang w:eastAsia="he-IL"/>
        </w:rPr>
        <w:t>Y</w:t>
      </w:r>
      <w:r>
        <w:rPr>
          <w:rFonts w:eastAsia="Arial Unicode MS" w:hint="cs"/>
          <w:rtl/>
          <w:lang w:eastAsia="he-IL"/>
        </w:rPr>
        <w:t>" (עמ' 12). כן הבהירה בחקירתה: "</w:t>
      </w:r>
      <w:r>
        <w:rPr>
          <w:rFonts w:eastAsia="Arial Unicode MS" w:hint="cs"/>
          <w:b/>
          <w:bCs/>
          <w:rtl/>
          <w:lang w:eastAsia="he-IL"/>
        </w:rPr>
        <w:t>אני חושבת שילדה בת תשע שצריכה לנסוע מדי יום מ</w:t>
      </w:r>
      <w:r w:rsidR="00FD1B7C">
        <w:rPr>
          <w:rFonts w:eastAsia="Arial Unicode MS" w:hint="cs"/>
          <w:b/>
          <w:bCs/>
          <w:rtl/>
          <w:lang w:eastAsia="he-IL"/>
        </w:rPr>
        <w:t>-</w:t>
      </w:r>
      <w:r w:rsidR="00FD1B7C">
        <w:rPr>
          <w:rFonts w:eastAsia="Arial Unicode MS" w:hint="cs"/>
          <w:b/>
          <w:bCs/>
          <w:lang w:eastAsia="he-IL"/>
        </w:rPr>
        <w:t>Z</w:t>
      </w:r>
      <w:r>
        <w:rPr>
          <w:rFonts w:eastAsia="Arial Unicode MS" w:hint="cs"/>
          <w:b/>
          <w:bCs/>
          <w:rtl/>
          <w:lang w:eastAsia="he-IL"/>
        </w:rPr>
        <w:t xml:space="preserve"> לירושלים למסגרת חינוכית, זה דבר שבהכרח יפגע לה באיכות חיים, כך גם לאחותה בת ה- 13</w:t>
      </w:r>
      <w:r>
        <w:rPr>
          <w:rFonts w:eastAsia="Arial Unicode MS" w:hint="cs"/>
          <w:rtl/>
          <w:lang w:eastAsia="he-IL"/>
        </w:rPr>
        <w:t>" (עמ' 30 שורות 14-15 לפרוטוקול). עוד הדגישה: "</w:t>
      </w:r>
      <w:r>
        <w:rPr>
          <w:rFonts w:eastAsia="Arial Unicode MS" w:hint="cs"/>
          <w:b/>
          <w:bCs/>
          <w:rtl/>
          <w:lang w:eastAsia="he-IL"/>
        </w:rPr>
        <w:t>ואני מדברת על בנות שהתרגלו מגיל, מגיל ממש קטן, שכל מרכז חייהן נמצא במרחק הליכה. זה לא ילד שמגיל קטן התרגל לקום ולנסוע ואלה, זאת מציאות חייו, יש פה מציאות שהבנות התרגלו אליה, ואליה היא תצטרכנה להסתגל... בעיניי זאת פגיעה באיכות החיים שלהן</w:t>
      </w:r>
      <w:r>
        <w:rPr>
          <w:rFonts w:eastAsia="Arial Unicode MS" w:hint="cs"/>
          <w:rtl/>
          <w:lang w:eastAsia="he-IL"/>
        </w:rPr>
        <w:t>" (עמ' 30 שורות 24-28 לפרוטוקול).</w:t>
      </w:r>
    </w:p>
    <w:p w:rsidR="004579BD" w:rsidRDefault="004579BD" w:rsidP="00790D6D">
      <w:pPr>
        <w:spacing w:line="360" w:lineRule="auto"/>
        <w:ind w:left="720"/>
        <w:jc w:val="both"/>
        <w:rPr>
          <w:rFonts w:eastAsia="Arial Unicode MS"/>
          <w:rtl/>
          <w:lang w:eastAsia="he-IL"/>
        </w:rPr>
      </w:pPr>
    </w:p>
    <w:p w:rsidR="004579BD" w:rsidRDefault="004579BD" w:rsidP="00790D6D">
      <w:pPr>
        <w:spacing w:line="360" w:lineRule="auto"/>
        <w:ind w:left="720"/>
        <w:jc w:val="both"/>
        <w:rPr>
          <w:rFonts w:eastAsia="Arial Unicode MS"/>
          <w:rtl/>
          <w:lang w:eastAsia="he-IL"/>
        </w:rPr>
      </w:pPr>
    </w:p>
    <w:p w:rsidR="007D3670" w:rsidRDefault="007D3670" w:rsidP="00790D6D">
      <w:pPr>
        <w:pStyle w:val="ae"/>
        <w:numPr>
          <w:ilvl w:val="0"/>
          <w:numId w:val="1"/>
        </w:numPr>
        <w:rPr>
          <w:rFonts w:eastAsia="Arial Unicode MS"/>
          <w:rtl/>
          <w:lang w:eastAsia="he-IL"/>
        </w:rPr>
      </w:pPr>
      <w:r>
        <w:rPr>
          <w:rFonts w:eastAsia="Arial Unicode MS" w:hint="cs"/>
          <w:rtl/>
          <w:lang w:eastAsia="he-IL"/>
        </w:rPr>
        <w:lastRenderedPageBreak/>
        <w:t>המעבר יאלץ את הקטינות להשכים קום ולנסוע מ</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xml:space="preserve"> לירושלים לפני תחילת יום לימודים (בימים בהם ילונו אצל הנתבעת), או לשוב מירושלים ל</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xml:space="preserve"> בתום יום לימודים, ולאחר סיום החוגים ותנועות הנוער. המדובר בשבע נסיעות בשבוע (פעם בשבוע שתי נסיעות (הלוך ושוב) באותו היום וביתר השבוע נסיעה בכיוון אחד בכל יום). מלבד זמני הנסיעה יידרשו הקטינות להמתין אחת לשנייה בהתחשב במסגרות החינוך השונות ובשעות הלימוד השונות, בחוגים ובפעילויות החברתיות והאחרות השונות. בצדק ראתה בכך העו"ס מכשול שיגרום למעמסה וקושי על הקטינות ויפגע באיכות חייהן. בוודאי הדברים אמורים בגילאי הקטינות, ובעובדה שהמדובר בקטינות שהתרגלו למגורים בשני בתים בסמיכות רבה זל"ז ולמסגרות החינוך, וכי מצב דברים זה מקל עליהן להחזיק ולהכיל את מציאות חייהן.</w:t>
      </w:r>
    </w:p>
    <w:p w:rsidR="007D3670" w:rsidRDefault="007D3670" w:rsidP="00790D6D">
      <w:pPr>
        <w:pStyle w:val="ae"/>
        <w:rPr>
          <w:rFonts w:eastAsia="Arial Unicode MS"/>
          <w:lang w:eastAsia="he-IL"/>
        </w:rPr>
      </w:pPr>
    </w:p>
    <w:p w:rsidR="007D3670" w:rsidRDefault="007D3670" w:rsidP="00790D6D">
      <w:pPr>
        <w:pStyle w:val="ae"/>
        <w:numPr>
          <w:ilvl w:val="0"/>
          <w:numId w:val="1"/>
        </w:numPr>
      </w:pPr>
      <w:r>
        <w:rPr>
          <w:rFonts w:eastAsia="Arial Unicode MS" w:hint="cs"/>
          <w:rtl/>
          <w:lang w:eastAsia="he-IL"/>
        </w:rPr>
        <w:t>הנתבעת טענה שהמעבר לא יפגע בהשתתפות הקטינות בתנועת הנוער (אם יוחלף יום השהות אצל התובע כפי שהציעה), בחוגים המתקיימים מיד לאחר תום המסגרת החינוכית (וממילא הם ברי שינוי) ובקשרים החברתיים של הקטינות (והדגישה שיש להן חברות המתגוררות בשכונות מרוחקות מהמסגרת החינוכית). גם בהתייחס לטענות אלו עמדה העו"ס על עמדתה והבהירה "</w:t>
      </w:r>
      <w:r>
        <w:rPr>
          <w:rFonts w:hint="cs"/>
          <w:bCs/>
          <w:rtl/>
        </w:rPr>
        <w:t>מספיק שיש כמה ימים שהן לא גומרות באותו שעה, או שאחת הבנות נשארת עם חברה, או איזשהו פעילות מבית הספר, או תנועת נוער שלא תיגמר באותו זמן, הן בעצם, זה בעצם משהו שאמור להאריך את זמן ההמתנה שלהן, ואת זמן הנסיעה שלהן</w:t>
      </w:r>
      <w:r>
        <w:rPr>
          <w:rFonts w:hint="cs"/>
          <w:b/>
          <w:rtl/>
        </w:rPr>
        <w:t xml:space="preserve">" </w:t>
      </w:r>
      <w:r>
        <w:rPr>
          <w:rFonts w:eastAsia="Arial Unicode MS" w:hint="cs"/>
          <w:rtl/>
          <w:lang w:eastAsia="he-IL"/>
        </w:rPr>
        <w:t>(עמ' 38 שורות 19-21 לפרוטוקול)</w:t>
      </w:r>
      <w:r>
        <w:rPr>
          <w:rFonts w:hint="cs"/>
          <w:b/>
          <w:rtl/>
        </w:rPr>
        <w:t>, והדגישה שמגורים במרחק כל כך משמעותי ממרכז חייהן אינו עולה בקנה אחד עם טובתן "</w:t>
      </w:r>
      <w:r>
        <w:rPr>
          <w:rFonts w:hint="cs"/>
          <w:bCs/>
          <w:rtl/>
        </w:rPr>
        <w:t>אני אגיד שבאופן כללי, כל המצב הזה, שהבנות יהיו במרבית השבוע, רחוקות ממרכז חייהן, על כל מה שכרוך בזה, גם אם נשנה את הימים, בעיניי זה דבר שלא מיטיב עם הבנות, ולא עולה בקנה אחד עם טובתן"</w:t>
      </w:r>
      <w:r>
        <w:rPr>
          <w:rFonts w:hint="cs"/>
          <w:b/>
          <w:rtl/>
        </w:rPr>
        <w:t xml:space="preserve"> (שם, שורות 31-33;</w:t>
      </w:r>
      <w:r>
        <w:rPr>
          <w:rFonts w:eastAsia="Arial Unicode MS" w:hint="cs"/>
          <w:rtl/>
          <w:lang w:eastAsia="he-IL"/>
        </w:rPr>
        <w:t xml:space="preserve"> עמ' 39 שורות 6-7 לפרוטוקול). עמדת העו"ס מסתברת בעיני. מציאות שבה ילדים לומדים בעיר אחת וגרים בעיר אחרת היא חריגה, ובמיוחד בגילאי הקטינות ועוד יותר בגיל בית ספר יסודי של הקטינה </w:t>
      </w:r>
      <w:r w:rsidR="00041CED">
        <w:rPr>
          <w:rFonts w:eastAsia="Arial Unicode MS" w:hint="cs"/>
          <w:lang w:eastAsia="he-IL"/>
        </w:rPr>
        <w:t>Y</w:t>
      </w:r>
      <w:r>
        <w:rPr>
          <w:rFonts w:eastAsia="Arial Unicode MS" w:hint="cs"/>
          <w:rtl/>
          <w:lang w:eastAsia="he-IL"/>
        </w:rPr>
        <w:t xml:space="preserve">. כפי שנאמר כבר בהחלטה </w:t>
      </w:r>
      <w:r>
        <w:rPr>
          <w:rFonts w:hint="cs"/>
          <w:rtl/>
        </w:rPr>
        <w:t xml:space="preserve">העובדה שהנתבעת סבורה שבשלב שני יש לבחון את שינוי מסגרת החינוך לעיר </w:t>
      </w:r>
      <w:r w:rsidR="00041CED">
        <w:rPr>
          <w:rFonts w:hint="cs"/>
        </w:rPr>
        <w:t>Z</w:t>
      </w:r>
      <w:r>
        <w:rPr>
          <w:rFonts w:hint="cs"/>
          <w:rtl/>
        </w:rPr>
        <w:t xml:space="preserve"> מלמדת כשלעצמה שגם גבי דידה טובת הקטינות אינה בהמשך הלימודים במסגרת חינוכית וחברתית בעיר אחרת.</w:t>
      </w:r>
    </w:p>
    <w:p w:rsidR="007D3670" w:rsidRDefault="007D3670" w:rsidP="00790D6D">
      <w:pPr>
        <w:pStyle w:val="ae"/>
        <w:rPr>
          <w:rFonts w:eastAsia="Arial Unicode MS"/>
          <w:rtl/>
          <w:lang w:eastAsia="he-IL"/>
        </w:rPr>
      </w:pPr>
    </w:p>
    <w:p w:rsidR="007D3670" w:rsidRDefault="007D3670" w:rsidP="00790D6D">
      <w:pPr>
        <w:pStyle w:val="ae"/>
        <w:numPr>
          <w:ilvl w:val="0"/>
          <w:numId w:val="1"/>
        </w:numPr>
        <w:rPr>
          <w:b/>
        </w:rPr>
      </w:pPr>
      <w:r>
        <w:rPr>
          <w:rFonts w:eastAsia="Arial Unicode MS" w:hint="cs"/>
          <w:rtl/>
          <w:lang w:eastAsia="he-IL"/>
        </w:rPr>
        <w:t>כן מצאה העו"ס ש"</w:t>
      </w:r>
      <w:r>
        <w:rPr>
          <w:rFonts w:eastAsia="Arial Unicode MS" w:hint="cs"/>
          <w:b/>
          <w:bCs/>
          <w:rtl/>
          <w:lang w:eastAsia="he-IL"/>
        </w:rPr>
        <w:t>קיים חשש כי בטווח הרחוק המעבר ישפיע על הקשר של הבנות עם האב לאחר שהוא ירחיק אותן באופן פיזי ממקום מגוריו</w:t>
      </w:r>
      <w:r>
        <w:rPr>
          <w:rFonts w:eastAsia="Arial Unicode MS" w:hint="cs"/>
          <w:rtl/>
          <w:lang w:eastAsia="he-IL"/>
        </w:rPr>
        <w:t xml:space="preserve">" (עמ' 10 לתסקיר; עמ' 30 שורות 15-18 לפרוטוקול). </w:t>
      </w:r>
      <w:r>
        <w:rPr>
          <w:rFonts w:hint="cs"/>
          <w:b/>
          <w:rtl/>
        </w:rPr>
        <w:t>"</w:t>
      </w:r>
      <w:r>
        <w:rPr>
          <w:rFonts w:hint="cs"/>
          <w:bCs/>
          <w:rtl/>
        </w:rPr>
        <w:t xml:space="preserve">אני אגיד שכמו שאמרתי התלבטנו. זאת לא הייתה החלטה קלה, לדיני נפשות, וכמובן שלקחנו בחשבון את העובדה שהאמא בונה תא משפחתי חדש, והיא לקראת לידה, וניסינו לחשוב על כל מיני קונסטלציות, שאולי המעבר כן יתאפשר. אחת הקונסטלציות שעלתה ,זה באמת הרחבת זמני השהות עם האב, על חשבון זמני השהות שלהן עם האם, ואני בהסתכלות על הקשר של הבנות עם האמא, אמרתי גם הקונסטלציה הזאת, לא רואה את טובת הבנות, כי בעצם הטובה של הבנות, היא המשך קשר רציף עם </w:t>
      </w:r>
      <w:r>
        <w:rPr>
          <w:rFonts w:hint="cs"/>
          <w:bCs/>
          <w:rtl/>
        </w:rPr>
        <w:lastRenderedPageBreak/>
        <w:t>שני ההורים שלהן, ששניהם הורים טובים דיים, כבודה יודעת שיש לנו פה הרבה סוגים של משפחות, ובחלק מהמשפחות זו יכלה להיות</w:t>
      </w:r>
      <w:r w:rsidR="00D429A4">
        <w:rPr>
          <w:rFonts w:hint="cs"/>
          <w:bCs/>
          <w:rtl/>
        </w:rPr>
        <w:t xml:space="preserve"> </w:t>
      </w:r>
      <w:r>
        <w:rPr>
          <w:rFonts w:hint="cs"/>
          <w:bCs/>
          <w:rtl/>
        </w:rPr>
        <w:t>הכרעה יותר קלה, אבל פה באמת ראינו מציאות שהתחושה הייתה, רק לא להרוס. כי אנחנו יודעים כמה קשה אחר כך לתקן, אנחנו מקבלים אחר כך הרבה פעמים משפחות עם מרחקים גאוגרפיים ופגיעות בקשר, ואז הרבה יותר קשה לתקן ולחבר, זה, בהרבה מהמקרים זה משפיע על הקשר, על האיכות שלו, על התדירות שלו, כפי שכתבתי בפרט שמדובר על מעבר בין שתי ערים, ועל נערה מתבגרת, שנמצאת כאן</w:t>
      </w:r>
      <w:r>
        <w:rPr>
          <w:rFonts w:hint="cs"/>
          <w:b/>
          <w:rtl/>
        </w:rPr>
        <w:t>" (עמ' 33 שורות 9-19 לפרוטוקול).</w:t>
      </w:r>
    </w:p>
    <w:p w:rsidR="007D3670" w:rsidRDefault="007D3670" w:rsidP="00790D6D">
      <w:pPr>
        <w:pStyle w:val="ae"/>
        <w:rPr>
          <w:b/>
        </w:rPr>
      </w:pPr>
      <w:r>
        <w:rPr>
          <w:rFonts w:eastAsia="Arial Unicode MS" w:hint="cs"/>
          <w:rtl/>
          <w:lang w:eastAsia="he-IL"/>
        </w:rPr>
        <w:t xml:space="preserve">העו"ס הדגישה שהחשש בפגיעה בקשר הוא בהתייחס לטווח הרחוק </w:t>
      </w:r>
      <w:r>
        <w:rPr>
          <w:rFonts w:hint="cs"/>
          <w:bCs/>
          <w:rtl/>
        </w:rPr>
        <w:t xml:space="preserve">"אני אגיד שקודם כל התייחסתי לטווח הרחוק, כי גם אני יודעת שבעצם בטווח הקרוב מדובר על המשך לימודים במסגרת חינוכיות קרובות, בעצם איפה שהבנות לומדות היום. בטווח הרחוק אנחנו לא יודעות, לא יודעים אם הן תישארנה במסגרות החינוכיות האלו, אם </w:t>
      </w:r>
      <w:r w:rsidR="00041CED">
        <w:rPr>
          <w:rFonts w:hint="cs"/>
          <w:bCs/>
        </w:rPr>
        <w:t xml:space="preserve"> Y</w:t>
      </w:r>
      <w:r>
        <w:rPr>
          <w:rFonts w:hint="cs"/>
          <w:bCs/>
          <w:rtl/>
        </w:rPr>
        <w:t>למשל, תשרוד את הנסיעות שלוש פעמים בשבוע, מ</w:t>
      </w:r>
      <w:r w:rsidR="00FD1B7C">
        <w:rPr>
          <w:rFonts w:hint="cs"/>
          <w:bCs/>
          <w:rtl/>
        </w:rPr>
        <w:t>-</w:t>
      </w:r>
      <w:r w:rsidR="00FD1B7C">
        <w:rPr>
          <w:b/>
        </w:rPr>
        <w:t>Z</w:t>
      </w:r>
      <w:r>
        <w:rPr>
          <w:rFonts w:hint="cs"/>
          <w:bCs/>
          <w:rtl/>
        </w:rPr>
        <w:t xml:space="preserve"> לירושלים הלוך וחזור, ואם לא, ומעבר לכך כמו שציינתי, הנושא של ילדה מתבגרת בגילה של </w:t>
      </w:r>
      <w:r w:rsidR="00041CED">
        <w:rPr>
          <w:rFonts w:hint="cs"/>
          <w:bCs/>
        </w:rPr>
        <w:t>X</w:t>
      </w:r>
      <w:r>
        <w:rPr>
          <w:rFonts w:hint="cs"/>
          <w:bCs/>
          <w:rtl/>
        </w:rPr>
        <w:t>, כאשר שני ההורים גרים במרחק של שני ערים, הרבה פעמים אנחנו נראה בהמשך פגיעה בקשר עם ההורה, כשקיים מרחק גאוגרפי ממנו</w:t>
      </w:r>
      <w:r>
        <w:rPr>
          <w:rFonts w:hint="cs"/>
          <w:b/>
          <w:rtl/>
        </w:rPr>
        <w:t xml:space="preserve">". כן הבהירה שהחשש קיים גם אם הקטינות ימשיכו להתחנך בירושלים: </w:t>
      </w:r>
      <w:r>
        <w:rPr>
          <w:rFonts w:hint="cs"/>
          <w:bCs/>
          <w:rtl/>
        </w:rPr>
        <w:t xml:space="preserve">"אני אגיד שאני אומרת את זה מניסיון ומתיקים אני טיפלתי בהם, שקיים מרחק גאוגרפי בין מגורי ההורים. בטווח הרחוק, כמו שכתבתי והדגשתי, בטווח הרחוק, זה הרבה פעמים גורם לפגיעה בקשר בין הילדים" </w:t>
      </w:r>
      <w:r>
        <w:rPr>
          <w:rFonts w:hint="cs"/>
          <w:b/>
          <w:rtl/>
        </w:rPr>
        <w:t>(עמ' 45 שורות 10-15; 25-27 לפרוטוקול). יוער שהדברים האחרונים נאמרו על ידי העו"ס במענה לשאלת הנתבעת בהתייחס להתחייבות מצדה שלא לשנות את מסגרת החינוך של הקטינות. ברם, לשאלת בית המשפט אם ניתנה התחייבות כזו השיבה הנתבעת מפי באת כוחה בשלילה (שם, שורה 35). העו"ס הדגישה "</w:t>
      </w:r>
      <w:r>
        <w:rPr>
          <w:rFonts w:hint="cs"/>
          <w:bCs/>
          <w:rtl/>
        </w:rPr>
        <w:t>היה מקרים שמסגרת החינוך באמת בהתחלה נשארה כפי שהיא, ואחר כך אני אגיד שאנחנו קיבלנו את זה לא בבקשה למעבר דירה, אלא בבקשה להעתקת מסגרת חינוכית, בראי של טובת הבנות שלא יצטרכו לעשות את הנסיעות ולא יהיה מרחק גאוגרפי כל כך גדול</w:t>
      </w:r>
      <w:r>
        <w:rPr>
          <w:rFonts w:hint="cs"/>
          <w:b/>
          <w:rtl/>
        </w:rPr>
        <w:t>" (עמ' 46 שורות 18-20 לפרוטוקול).</w:t>
      </w:r>
    </w:p>
    <w:p w:rsidR="007D3670" w:rsidRDefault="007D3670" w:rsidP="00790D6D">
      <w:pPr>
        <w:pStyle w:val="ae"/>
        <w:rPr>
          <w:rFonts w:eastAsia="Arial Unicode MS"/>
          <w:lang w:eastAsia="he-IL"/>
        </w:rPr>
      </w:pPr>
    </w:p>
    <w:p w:rsidR="004579BD" w:rsidRPr="004579BD" w:rsidRDefault="007D3670" w:rsidP="00790D6D">
      <w:pPr>
        <w:numPr>
          <w:ilvl w:val="0"/>
          <w:numId w:val="1"/>
        </w:numPr>
        <w:spacing w:line="360" w:lineRule="auto"/>
        <w:jc w:val="both"/>
        <w:rPr>
          <w:rFonts w:eastAsia="Arial Unicode MS"/>
          <w:lang w:eastAsia="he-IL"/>
        </w:rPr>
      </w:pPr>
      <w:r>
        <w:rPr>
          <w:rFonts w:eastAsia="Arial Unicode MS" w:hint="cs"/>
          <w:rtl/>
          <w:lang w:eastAsia="he-IL"/>
        </w:rPr>
        <w:t xml:space="preserve">על האמור יש להוסיף את הנטל והמעמסה שייפלו על כתפי הנתבעת בהסעת הקטינות, אשר מעוררים תהיות עד כמה היא תהיה ישימה לטווח ארוך ואם לא ייגרמו לנתבעת לנסות ולהתנער מהם. הדברים מקבלים משנה תוקף לאור העובדה שהנתבעת מטופלת בתינוקת נוספת, וכי היא עובדת כאחות במשמרות בבית חולים (ראו סעיפים 104 ו- 108 לתצהיר עדותה הראשית). בהחלטה הודגש שהנתבעת לא פירטה </w:t>
      </w:r>
      <w:r>
        <w:rPr>
          <w:rFonts w:hint="cs"/>
          <w:rtl/>
        </w:rPr>
        <w:t>"תשתית מספיקה שתסביר הכיצד יגיעו הקטינות מ</w:t>
      </w:r>
      <w:r w:rsidR="00041CED">
        <w:rPr>
          <w:rFonts w:hint="cs"/>
          <w:rtl/>
        </w:rPr>
        <w:t>-</w:t>
      </w:r>
      <w:r w:rsidR="00041CED">
        <w:rPr>
          <w:rFonts w:hint="cs"/>
        </w:rPr>
        <w:t>Z</w:t>
      </w:r>
      <w:r>
        <w:rPr>
          <w:rFonts w:hint="cs"/>
          <w:rtl/>
        </w:rPr>
        <w:t xml:space="preserve"> למסגרת החינוכית, מי יסיע אותן, באיזו שעה ידרשו לצאת בבוקר כדי להגיע בזמן למסגרת, מה לגבי השתתפותן בפעילויות בשעות אחר הצהריים או הערב בימים שהן עמה, האם יוותרו על הפעילות או שמא ייסעו הלוך ושוב פעמיים באותו היום". </w:t>
      </w:r>
    </w:p>
    <w:p w:rsidR="007D3670" w:rsidRDefault="007D3670" w:rsidP="00790D6D">
      <w:pPr>
        <w:spacing w:line="360" w:lineRule="auto"/>
        <w:ind w:left="720"/>
        <w:jc w:val="both"/>
        <w:rPr>
          <w:rFonts w:eastAsia="Arial Unicode MS"/>
          <w:rtl/>
          <w:lang w:eastAsia="he-IL"/>
        </w:rPr>
      </w:pPr>
      <w:r>
        <w:rPr>
          <w:rFonts w:hint="cs"/>
          <w:rtl/>
        </w:rPr>
        <w:lastRenderedPageBreak/>
        <w:t>חרף האמור, גם בתצהיר עדותה הראשית שהוגש לאחר ההחלטה לא מצאה הנתבעת לפרט מתווה אלא הסתפקה בטענה שהמעבר לא יטיל על התובע נטל של נסיעות (סעיף 51 לתצהיר עדותה הראשית).</w:t>
      </w:r>
      <w:r>
        <w:rPr>
          <w:rFonts w:eastAsia="Arial Unicode MS" w:hint="cs"/>
          <w:rtl/>
          <w:lang w:eastAsia="he-IL"/>
        </w:rPr>
        <w:t xml:space="preserve"> כמו כן, בהינתן העומס שיטיל פתרון כזה על הנתבעת ספק אם יהיה ישים, לא כל שכן לאורך זמן.</w:t>
      </w:r>
    </w:p>
    <w:p w:rsidR="007D3670" w:rsidRDefault="007D3670" w:rsidP="00790D6D">
      <w:pPr>
        <w:spacing w:line="360" w:lineRule="auto"/>
        <w:ind w:left="720"/>
        <w:rPr>
          <w:rFonts w:eastAsia="Arial Unicode MS"/>
          <w:lang w:eastAsia="he-IL"/>
        </w:rPr>
      </w:pPr>
    </w:p>
    <w:p w:rsidR="007D3670" w:rsidRDefault="007D3670" w:rsidP="00790D6D">
      <w:pPr>
        <w:numPr>
          <w:ilvl w:val="0"/>
          <w:numId w:val="1"/>
        </w:numPr>
        <w:spacing w:line="360" w:lineRule="auto"/>
        <w:jc w:val="both"/>
        <w:rPr>
          <w:rFonts w:eastAsia="Arial Unicode MS"/>
          <w:lang w:eastAsia="he-IL"/>
        </w:rPr>
      </w:pPr>
      <w:r>
        <w:rPr>
          <w:rFonts w:eastAsia="Arial Unicode MS" w:hint="cs"/>
          <w:rtl/>
          <w:lang w:eastAsia="he-IL"/>
        </w:rPr>
        <w:t xml:space="preserve">והנה, הנתבעת בעצמה למעשה הבהירה שלכל היותר המדובר על פתרון </w:t>
      </w:r>
      <w:r>
        <w:rPr>
          <w:rFonts w:eastAsia="Arial Unicode MS" w:hint="cs"/>
          <w:u w:val="single"/>
          <w:rtl/>
          <w:lang w:eastAsia="he-IL"/>
        </w:rPr>
        <w:t>זמני</w:t>
      </w:r>
      <w:r>
        <w:rPr>
          <w:rFonts w:eastAsia="Arial Unicode MS" w:hint="cs"/>
          <w:rtl/>
          <w:lang w:eastAsia="he-IL"/>
        </w:rPr>
        <w:t xml:space="preserve"> ועל כן הציגה בתגובתה לבקשה לצו המניעה את משנתה להשלים את העתקת מרכז החיים של הקטינות ל</w:t>
      </w:r>
      <w:r w:rsidR="00041CED">
        <w:rPr>
          <w:rFonts w:eastAsia="Arial Unicode MS"/>
          <w:lang w:eastAsia="he-IL"/>
        </w:rPr>
        <w:t>-</w:t>
      </w:r>
      <w:r w:rsidR="00041CED">
        <w:rPr>
          <w:rFonts w:eastAsia="Arial Unicode MS" w:hint="cs"/>
          <w:lang w:eastAsia="he-IL"/>
        </w:rPr>
        <w:t>Z</w:t>
      </w:r>
      <w:r w:rsidR="00041CED">
        <w:rPr>
          <w:rFonts w:eastAsia="Arial Unicode MS" w:hint="cs"/>
          <w:rtl/>
          <w:lang w:eastAsia="he-IL"/>
        </w:rPr>
        <w:t xml:space="preserve"> </w:t>
      </w:r>
      <w:r>
        <w:rPr>
          <w:rFonts w:eastAsia="Arial Unicode MS" w:hint="cs"/>
          <w:rtl/>
          <w:lang w:eastAsia="he-IL"/>
        </w:rPr>
        <w:t>(גם את מקום מגוריהן וגם את מסגרת חינוכן) בשני שלבים. כך גם התרשמה העו"ס מדברי הנתבעת: "</w:t>
      </w:r>
      <w:r>
        <w:rPr>
          <w:rFonts w:eastAsia="Arial Unicode MS" w:hint="cs"/>
          <w:b/>
          <w:bCs/>
          <w:rtl/>
          <w:lang w:eastAsia="he-IL"/>
        </w:rPr>
        <w:t xml:space="preserve">האם מבקשת להעתיק את מקום מגוריה ומגורי הבנות בזמני השהות עמה לעיר </w:t>
      </w:r>
      <w:r w:rsidR="00041CED">
        <w:rPr>
          <w:rFonts w:eastAsia="Arial Unicode MS"/>
          <w:b/>
          <w:bCs/>
          <w:lang w:eastAsia="he-IL"/>
        </w:rPr>
        <w:t>Z</w:t>
      </w:r>
      <w:r>
        <w:rPr>
          <w:rFonts w:eastAsia="Arial Unicode MS" w:hint="cs"/>
          <w:b/>
          <w:bCs/>
          <w:rtl/>
          <w:lang w:eastAsia="he-IL"/>
        </w:rPr>
        <w:t>, תוך שהיא מצהירה כי הבנות תמשכנה ללמוד בשנה"ל הבאה במסגרות החינוכיות בירושלים והיא תהיה אחראית על הבאתן ועל החזרתן</w:t>
      </w:r>
      <w:r>
        <w:rPr>
          <w:rFonts w:eastAsia="Arial Unicode MS" w:hint="cs"/>
          <w:rtl/>
          <w:lang w:eastAsia="he-IL"/>
        </w:rPr>
        <w:t>" (עמ' 11 לתסקיר). כן הדגישה העו"ס שהנתבעת הציגה טיעונים איך הבנות יסתדרו עם המעבר כאשר מרכז חייהן יישאר בירושלים "ואולם אין ספק כי מדובר בברירת מחדל" (עמ' 12) וניכר שהמילה "בלית ברירה" (תחת המילה "ברירת מחדל") קולעת יותר לכוונתה. גם בדיון בחלופה של דחיית התביעה פירטה העו"ס את הזמניות שבהמשך הלימודים של הקטינות בירושלים: "</w:t>
      </w:r>
      <w:r>
        <w:rPr>
          <w:rFonts w:eastAsia="Arial Unicode MS" w:hint="cs"/>
          <w:b/>
          <w:bCs/>
          <w:rtl/>
          <w:lang w:eastAsia="he-IL"/>
        </w:rPr>
        <w:t>האם והבנות תעבורנה להתגורר ב</w:t>
      </w:r>
      <w:r w:rsidR="00041CED">
        <w:rPr>
          <w:rFonts w:eastAsia="Arial Unicode MS" w:hint="cs"/>
          <w:b/>
          <w:bCs/>
          <w:rtl/>
          <w:lang w:eastAsia="he-IL"/>
        </w:rPr>
        <w:t>-</w:t>
      </w:r>
      <w:r w:rsidR="00041CED">
        <w:rPr>
          <w:rFonts w:eastAsia="Arial Unicode MS" w:hint="cs"/>
          <w:b/>
          <w:bCs/>
          <w:lang w:eastAsia="he-IL"/>
        </w:rPr>
        <w:t>Z</w:t>
      </w:r>
      <w:r>
        <w:rPr>
          <w:rFonts w:eastAsia="Arial Unicode MS" w:hint="cs"/>
          <w:b/>
          <w:bCs/>
          <w:rtl/>
          <w:lang w:eastAsia="he-IL"/>
        </w:rPr>
        <w:t xml:space="preserve">. זמני השהות בין הבנות לאב ימשיכו להתקיים כסדרם וכן הבנות תמשכנה </w:t>
      </w:r>
      <w:r>
        <w:rPr>
          <w:rFonts w:eastAsia="Arial Unicode MS" w:hint="cs"/>
          <w:b/>
          <w:bCs/>
          <w:u w:val="single"/>
          <w:rtl/>
          <w:lang w:eastAsia="he-IL"/>
        </w:rPr>
        <w:t>בשלב זה</w:t>
      </w:r>
      <w:r>
        <w:rPr>
          <w:rFonts w:eastAsia="Arial Unicode MS" w:hint="cs"/>
          <w:b/>
          <w:bCs/>
          <w:rtl/>
          <w:lang w:eastAsia="he-IL"/>
        </w:rPr>
        <w:t xml:space="preserve"> ללמוד במסגרות החינוכיות בירושלים בהן הן לומדות כיום</w:t>
      </w:r>
      <w:r>
        <w:rPr>
          <w:rFonts w:eastAsia="Arial Unicode MS" w:hint="cs"/>
          <w:rtl/>
          <w:lang w:eastAsia="he-IL"/>
        </w:rPr>
        <w:t xml:space="preserve">" (ההדגשה שלי – א.ב.ד; עמ' 10 תחת הדיון ב"חלופה 1" (שנפסלה)). העו"ס הבהירה בחקירתה שלא שמעה מהנתבעת על כך שהיא מתכוונת לעתור בהמשך לשינוי מסגרת החינוך אך היא </w:t>
      </w:r>
      <w:r w:rsidR="00D429A4">
        <w:rPr>
          <w:rFonts w:eastAsia="Arial Unicode MS" w:hint="cs"/>
          <w:rtl/>
          <w:lang w:eastAsia="he-IL"/>
        </w:rPr>
        <w:t xml:space="preserve">כן </w:t>
      </w:r>
      <w:r>
        <w:rPr>
          <w:rFonts w:eastAsia="Arial Unicode MS" w:hint="cs"/>
          <w:rtl/>
          <w:lang w:eastAsia="he-IL"/>
        </w:rPr>
        <w:t>הסבירה ש"</w:t>
      </w:r>
      <w:r>
        <w:rPr>
          <w:rFonts w:eastAsia="Arial Unicode MS" w:hint="cs"/>
          <w:b/>
          <w:bCs/>
          <w:rtl/>
          <w:lang w:eastAsia="he-IL"/>
        </w:rPr>
        <w:t>עכשיו זה מסתדר יותר, לקחת ולהחזיר את הבנות או לדאוג שיהיה מישהו שיקח ויחזיר את הבנות, לאורך השנה, בזמן שהם ילמדו בירושלים</w:t>
      </w:r>
      <w:r>
        <w:rPr>
          <w:rFonts w:eastAsia="Arial Unicode MS" w:hint="cs"/>
          <w:rtl/>
          <w:lang w:eastAsia="he-IL"/>
        </w:rPr>
        <w:t>" (עמ' 52 שורות 11-12 לפרוטוקול).</w:t>
      </w:r>
    </w:p>
    <w:p w:rsidR="007D3670" w:rsidRDefault="007D3670" w:rsidP="00790D6D">
      <w:pPr>
        <w:spacing w:line="360" w:lineRule="auto"/>
        <w:ind w:left="720"/>
        <w:rPr>
          <w:rFonts w:eastAsia="Arial Unicode MS"/>
          <w:lang w:eastAsia="he-IL"/>
        </w:rPr>
      </w:pPr>
    </w:p>
    <w:p w:rsidR="007D3670" w:rsidRDefault="007D3670" w:rsidP="00790D6D">
      <w:pPr>
        <w:numPr>
          <w:ilvl w:val="0"/>
          <w:numId w:val="1"/>
        </w:numPr>
        <w:spacing w:line="360" w:lineRule="auto"/>
        <w:jc w:val="both"/>
        <w:rPr>
          <w:rFonts w:eastAsia="Arial Unicode MS"/>
          <w:lang w:eastAsia="he-IL"/>
        </w:rPr>
      </w:pPr>
      <w:r>
        <w:rPr>
          <w:rFonts w:eastAsia="Arial Unicode MS" w:hint="cs"/>
          <w:rtl/>
          <w:lang w:eastAsia="he-IL"/>
        </w:rPr>
        <w:t>בהחלטה התייחסתי לתכנית הנתבעת ואין אלא לחזור על האמור בה:</w:t>
      </w:r>
    </w:p>
    <w:p w:rsidR="007D3670" w:rsidRDefault="007D3670" w:rsidP="00790D6D">
      <w:pPr>
        <w:pStyle w:val="ae"/>
        <w:rPr>
          <w:b/>
          <w:bCs/>
        </w:rPr>
      </w:pPr>
      <w:r>
        <w:rPr>
          <w:rFonts w:hint="cs"/>
          <w:b/>
          <w:bCs/>
          <w:rtl/>
        </w:rPr>
        <w:t xml:space="preserve">"14. "רצון העל" של המשיבה הוא להעתיק את מקום המגורים ואת מסגרות החינוך של הקטינות לעיר </w:t>
      </w:r>
      <w:r w:rsidR="00041CED">
        <w:rPr>
          <w:rFonts w:hint="cs"/>
          <w:b/>
          <w:bCs/>
        </w:rPr>
        <w:t>Z</w:t>
      </w:r>
      <w:r>
        <w:rPr>
          <w:rFonts w:hint="cs"/>
          <w:b/>
          <w:bCs/>
          <w:rtl/>
        </w:rPr>
        <w:t xml:space="preserve">. ניכר שבשל "נסיבות דיוניות" (העובדה שההסכם מתיר לה לשיטתה לקבוע את מקום מגוריהן ללא צורך באישור המבקש) התפצל הדיון למעשה לשניים כאשר בשלב זה מונחת לפני רק תביעה מצד המבקש למנוע באופן זמני וקבוע את מעבר הקטינות להתגורר עם המשיבה בעיר </w:t>
      </w:r>
      <w:r w:rsidR="00041CED">
        <w:rPr>
          <w:rFonts w:hint="cs"/>
          <w:b/>
          <w:bCs/>
        </w:rPr>
        <w:t>Z</w:t>
      </w:r>
      <w:r>
        <w:rPr>
          <w:rFonts w:hint="cs"/>
          <w:b/>
          <w:bCs/>
          <w:rtl/>
        </w:rPr>
        <w:t xml:space="preserve">. אין חולק כאמור שהמשיבה לא יכולה להעביר את מסגרת החינוך של הקטינות לעיר </w:t>
      </w:r>
      <w:r w:rsidR="00041CED">
        <w:rPr>
          <w:rFonts w:hint="cs"/>
          <w:b/>
          <w:bCs/>
        </w:rPr>
        <w:t>Z</w:t>
      </w:r>
      <w:r>
        <w:rPr>
          <w:rFonts w:hint="cs"/>
          <w:b/>
          <w:bCs/>
          <w:rtl/>
        </w:rPr>
        <w:t xml:space="preserve"> ללא הסכמת המבקש או בקבלת אישור בית המשפט לכך. המשיבה גם לא עתרה בתביעה להתיר את שינוי מסגרת חינוכן של הקטינות לעיר </w:t>
      </w:r>
      <w:r w:rsidR="00041CED">
        <w:rPr>
          <w:rFonts w:hint="cs"/>
          <w:b/>
          <w:bCs/>
        </w:rPr>
        <w:t>Z</w:t>
      </w:r>
      <w:r>
        <w:rPr>
          <w:rFonts w:hint="cs"/>
          <w:b/>
          <w:bCs/>
          <w:rtl/>
        </w:rPr>
        <w:t xml:space="preserve"> ואינה טוענת שזוהי טובתן. על פני הדברים ניכר שהפיצול הזה הוא מלאכותי וגם המשיבה סבורה שטובת הקטינות ללמוד בסמוך למקום מגוריהן ועל כן חושבת על הגשת תביעה בשלב השני. </w:t>
      </w:r>
      <w:r>
        <w:rPr>
          <w:rFonts w:hint="cs"/>
          <w:b/>
          <w:bCs/>
          <w:rtl/>
        </w:rPr>
        <w:lastRenderedPageBreak/>
        <w:t>ניכר גם שהסכמת הצדדים בהסכם לא לקחה בחשבון אפשרות שקטינות בגיל בית ספר יסודי יגורו בעיר אחת וילמדו בעיר אחרת שם גם יהא מרכז חייהן.</w:t>
      </w:r>
    </w:p>
    <w:p w:rsidR="007D3670" w:rsidRDefault="007D3670" w:rsidP="00790D6D">
      <w:pPr>
        <w:pStyle w:val="ae"/>
        <w:rPr>
          <w:b/>
          <w:bCs/>
        </w:rPr>
      </w:pPr>
      <w:r>
        <w:rPr>
          <w:rFonts w:hint="cs"/>
          <w:b/>
          <w:bCs/>
          <w:rtl/>
        </w:rPr>
        <w:t>המשיבה הדגישה שהנסיעה מ</w:t>
      </w:r>
      <w:r w:rsidR="00041CED">
        <w:rPr>
          <w:rFonts w:hint="cs"/>
          <w:b/>
          <w:bCs/>
          <w:rtl/>
        </w:rPr>
        <w:t>-</w:t>
      </w:r>
      <w:r w:rsidR="00041CED">
        <w:rPr>
          <w:rFonts w:hint="cs"/>
          <w:b/>
          <w:bCs/>
        </w:rPr>
        <w:t>Z</w:t>
      </w:r>
      <w:r>
        <w:rPr>
          <w:rFonts w:hint="cs"/>
          <w:b/>
          <w:bCs/>
          <w:rtl/>
        </w:rPr>
        <w:t xml:space="preserve"> </w:t>
      </w:r>
      <w:r w:rsidR="00041CED">
        <w:rPr>
          <w:rFonts w:hint="cs"/>
          <w:b/>
          <w:bCs/>
          <w:rtl/>
        </w:rPr>
        <w:t>ל</w:t>
      </w:r>
      <w:r>
        <w:rPr>
          <w:rFonts w:hint="cs"/>
          <w:b/>
          <w:bCs/>
          <w:rtl/>
        </w:rPr>
        <w:t xml:space="preserve">ירושלים לא ארוכה יותר מנסיעה משכונה אחת לאחרת בקצוות ירושלים, וכי המדובר בשש נסיעות בשבוע בלבד.  המשיבה אמדה מרחק אווירי (שאינו רלוונטי בבחינת מרחק) וטענה שמשך הנסיעה לא ארוך יותר מ-45 דקות לכל כיוון (בדיון טענה אף שמשך הנסיעה קצר יותר). לעומתה טוען המבקש שהנסיעה אורכת בין שעה ורבע לשעה וארבעים לכל כיוון, וייתכן שאף למעלה מכך בשעות העומס. </w:t>
      </w:r>
    </w:p>
    <w:p w:rsidR="007D3670" w:rsidRDefault="007D3670" w:rsidP="00790D6D">
      <w:pPr>
        <w:pStyle w:val="ae"/>
        <w:rPr>
          <w:b/>
          <w:bCs/>
        </w:rPr>
      </w:pPr>
      <w:r>
        <w:rPr>
          <w:rFonts w:hint="cs"/>
          <w:b/>
          <w:bCs/>
          <w:rtl/>
        </w:rPr>
        <w:t>מתקשה אני לראות הכיצד התרת המעבר של הקטינות ל</w:t>
      </w:r>
      <w:r w:rsidR="00041CED">
        <w:rPr>
          <w:rFonts w:hint="cs"/>
          <w:b/>
          <w:bCs/>
          <w:rtl/>
        </w:rPr>
        <w:t>-</w:t>
      </w:r>
      <w:r w:rsidR="00041CED">
        <w:rPr>
          <w:rFonts w:hint="cs"/>
          <w:b/>
          <w:bCs/>
        </w:rPr>
        <w:t>Z</w:t>
      </w:r>
      <w:r>
        <w:rPr>
          <w:rFonts w:hint="cs"/>
          <w:b/>
          <w:bCs/>
          <w:rtl/>
        </w:rPr>
        <w:t xml:space="preserve"> בשלב זה משרת את טובתן, כאשר הן לומדות במוסדות חינוך בירושלים ובה נמצאת גם כל פעילותן בשעות הפנאי (תנועת נוער, חוגים וחברים). המשיבה לא פירטה תשתית מספיקה שתסביר הכיצד יגיעו הקטינות מ</w:t>
      </w:r>
      <w:r w:rsidR="00041CED">
        <w:rPr>
          <w:rFonts w:hint="cs"/>
          <w:b/>
          <w:bCs/>
          <w:rtl/>
        </w:rPr>
        <w:t>-</w:t>
      </w:r>
      <w:r w:rsidR="00041CED">
        <w:rPr>
          <w:rFonts w:hint="cs"/>
          <w:b/>
          <w:bCs/>
        </w:rPr>
        <w:t>Z</w:t>
      </w:r>
      <w:r>
        <w:rPr>
          <w:rFonts w:hint="cs"/>
          <w:b/>
          <w:bCs/>
          <w:rtl/>
        </w:rPr>
        <w:t xml:space="preserve"> למסגרת החינוכית, מי יסיע אותן, באיזו שעה ידרשו לצאת בבוקר כדי להגיע בזמן למסגרת, מה לגבי השתתפותן בפעילויות בשעות אחר הצהריים או הערב בימים שהן עמה, האם יוותרו על הפעילות או שמא ייסעו הלוך ושוב פעמיים באותו היום. המשיבה עובדת במשמרות כאחות בבית החולים ולא ניתנה כל תשתית מי יסיע את הקטינות כשהיא במשמרת בעבודה או כשתהיה בעתיד בחופשת הלידה הצפויה.</w:t>
      </w:r>
    </w:p>
    <w:p w:rsidR="007D3670" w:rsidRDefault="007D3670" w:rsidP="00790D6D">
      <w:pPr>
        <w:pStyle w:val="ae"/>
        <w:rPr>
          <w:b/>
          <w:bCs/>
          <w:rtl/>
        </w:rPr>
      </w:pPr>
      <w:r>
        <w:rPr>
          <w:rFonts w:hint="cs"/>
          <w:b/>
          <w:bCs/>
          <w:rtl/>
        </w:rPr>
        <w:t>על פני הדברים המציאות הזו של מגורים ב</w:t>
      </w:r>
      <w:r w:rsidR="00041CED">
        <w:rPr>
          <w:rFonts w:hint="cs"/>
          <w:b/>
          <w:bCs/>
          <w:rtl/>
        </w:rPr>
        <w:t>-</w:t>
      </w:r>
      <w:r w:rsidR="00041CED">
        <w:rPr>
          <w:rFonts w:hint="cs"/>
          <w:b/>
          <w:bCs/>
        </w:rPr>
        <w:t>Z</w:t>
      </w:r>
      <w:r>
        <w:rPr>
          <w:rFonts w:hint="cs"/>
          <w:b/>
          <w:bCs/>
          <w:rtl/>
        </w:rPr>
        <w:t xml:space="preserve"> ומרכז חיים בירושלים (מסגרות חינוכיות וחברתיות) בגילאי הקטינות היא חריגה ומחייבת את בחינת טובתן קודם המעבר. העובדה שהמשיבה בעצמה סבורה שבשלב שני יש לבחון את שינוי מסגרת החינוך לעיר </w:t>
      </w:r>
      <w:r w:rsidR="00041CED">
        <w:rPr>
          <w:rFonts w:hint="cs"/>
          <w:b/>
          <w:bCs/>
        </w:rPr>
        <w:t>Z</w:t>
      </w:r>
      <w:r>
        <w:rPr>
          <w:rFonts w:hint="cs"/>
          <w:b/>
          <w:bCs/>
          <w:rtl/>
        </w:rPr>
        <w:t xml:space="preserve"> מלמדת שגם גבי דידה טובתן אינה בהמשך הלימודים במסגרת חינוכית וחברתית בעיר אחרת..</w:t>
      </w:r>
    </w:p>
    <w:p w:rsidR="007D3670" w:rsidRDefault="007D3670" w:rsidP="00790D6D">
      <w:pPr>
        <w:pStyle w:val="ae"/>
        <w:rPr>
          <w:b/>
          <w:bCs/>
          <w:rtl/>
        </w:rPr>
      </w:pPr>
      <w:r>
        <w:rPr>
          <w:rFonts w:hint="cs"/>
          <w:b/>
          <w:bCs/>
          <w:rtl/>
        </w:rPr>
        <w:t xml:space="preserve">16. </w:t>
      </w:r>
      <w:r>
        <w:rPr>
          <w:rFonts w:hint="cs"/>
          <w:rtl/>
        </w:rPr>
        <w:t xml:space="preserve">... </w:t>
      </w:r>
      <w:r>
        <w:rPr>
          <w:rFonts w:hint="cs"/>
          <w:b/>
          <w:bCs/>
          <w:rtl/>
        </w:rPr>
        <w:t xml:space="preserve">במיוחד הדברים אמורים כאשר המטרה המוצהרת (והמובנת מאליה) של המשיבה היא גם שינוי מסגרתן החינוכית בהמשך, ומתחייבת הבחינה מה יהיו השלכות המעבר על טובת הקטינות ועל המשך זמני השהות עם המבקש, כאשר ברור על פניו שיהיה קשה להמשיך ולקיים חלוקת זמני שהות כמעט שווה עם המבקש בירושלים אם יתגוררו הקטינות ויתחנכו בעיר </w:t>
      </w:r>
      <w:r w:rsidR="00041CED">
        <w:rPr>
          <w:rFonts w:hint="cs"/>
          <w:b/>
          <w:bCs/>
        </w:rPr>
        <w:t>Z</w:t>
      </w:r>
      <w:r>
        <w:rPr>
          <w:rFonts w:hint="cs"/>
          <w:b/>
          <w:bCs/>
          <w:rtl/>
        </w:rPr>
        <w:t>...</w:t>
      </w:r>
    </w:p>
    <w:p w:rsidR="007D3670" w:rsidRDefault="007D3670" w:rsidP="00790D6D">
      <w:pPr>
        <w:pStyle w:val="ae"/>
        <w:rPr>
          <w:b/>
          <w:bCs/>
          <w:rtl/>
        </w:rPr>
      </w:pPr>
      <w:r>
        <w:rPr>
          <w:rFonts w:hint="cs"/>
          <w:b/>
          <w:bCs/>
          <w:rtl/>
        </w:rPr>
        <w:t>18... שעה שהיא מעוניינת בסופו של דבר גם בשינוי מסגרות החינוך (בהליך דו שלבי כטענתה) ניכר שחובת תום הלב הייתה בהגשת תביעה הכוללת את בחינת טובת הקטינות בשני השלבים, ולייתר פיצול מלאכותי. קשה להתעלם מהרושם שפיצול זה מבקש למעשה לקבוע עובדות בשטח לגבי תביעה שלא הוגשה. קרי, להעתיק את מקום מגורי הקטינות על מנת להכשיר תביעה עתידית לשינוי מסגרת חינוך שעוד לא באה אל העולם...".</w:t>
      </w:r>
    </w:p>
    <w:p w:rsidR="007D3670" w:rsidRDefault="007D3670" w:rsidP="00790D6D">
      <w:pPr>
        <w:spacing w:line="360" w:lineRule="auto"/>
        <w:ind w:left="720"/>
        <w:rPr>
          <w:rtl/>
        </w:rPr>
      </w:pPr>
    </w:p>
    <w:p w:rsidR="00790D6D" w:rsidRDefault="00790D6D" w:rsidP="00790D6D">
      <w:pPr>
        <w:spacing w:line="360" w:lineRule="auto"/>
        <w:ind w:left="720"/>
        <w:rPr>
          <w:rtl/>
        </w:rPr>
      </w:pPr>
    </w:p>
    <w:p w:rsidR="00790D6D" w:rsidRDefault="00790D6D" w:rsidP="00790D6D">
      <w:pPr>
        <w:spacing w:line="360" w:lineRule="auto"/>
        <w:ind w:left="720"/>
        <w:rPr>
          <w:rtl/>
        </w:rPr>
      </w:pPr>
    </w:p>
    <w:p w:rsidR="00790D6D" w:rsidRDefault="00790D6D" w:rsidP="00790D6D">
      <w:pPr>
        <w:spacing w:line="360" w:lineRule="auto"/>
        <w:ind w:left="720"/>
        <w:rPr>
          <w:rtl/>
        </w:rPr>
      </w:pPr>
    </w:p>
    <w:p w:rsidR="00790D6D" w:rsidRDefault="00790D6D" w:rsidP="00790D6D">
      <w:pPr>
        <w:spacing w:line="360" w:lineRule="auto"/>
        <w:ind w:left="720"/>
        <w:rPr>
          <w:rtl/>
        </w:rPr>
      </w:pPr>
    </w:p>
    <w:p w:rsidR="007D3670" w:rsidRDefault="007D3670" w:rsidP="00790D6D">
      <w:pPr>
        <w:numPr>
          <w:ilvl w:val="0"/>
          <w:numId w:val="1"/>
        </w:numPr>
        <w:spacing w:line="360" w:lineRule="auto"/>
        <w:jc w:val="both"/>
      </w:pPr>
      <w:r>
        <w:rPr>
          <w:rFonts w:eastAsia="Arial Unicode MS" w:hint="cs"/>
          <w:rtl/>
          <w:lang w:eastAsia="he-IL"/>
        </w:rPr>
        <w:lastRenderedPageBreak/>
        <w:t xml:space="preserve">הנתבעת הצהירה שתכניתה הסופית היא לשנות את מרכז חייהן של הקטינות לעיר </w:t>
      </w:r>
      <w:r w:rsidR="00041CED">
        <w:rPr>
          <w:rFonts w:eastAsia="Arial Unicode MS" w:hint="cs"/>
          <w:lang w:eastAsia="he-IL"/>
        </w:rPr>
        <w:t>Z</w:t>
      </w:r>
      <w:r>
        <w:rPr>
          <w:rFonts w:eastAsia="Arial Unicode MS" w:hint="cs"/>
          <w:rtl/>
          <w:lang w:eastAsia="he-IL"/>
        </w:rPr>
        <w:t xml:space="preserve"> ועולה בבירור מטענותיה שגם גבי דידה אין זה סביר לטווח ארוך בגילאי הקטינות לגור בעיר אחת וללמוד בעיר אחרת.  דומה שלא יתכן חולק שקשה יהיה לקיים חלוקת זמני שהות שווה אם יעתיקו הקטינות את מרכז חייהן ל</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בהתחשב בחלוקת זמני השהות השווה ובהכרח לבחון את טובת הקטינות ביחס למעבר הכולל שינוי מסגרת חינוכית (גם לשיטת הנתבעת) לא ניתן לשלול את האפשרות שהנתבעת סברה שמעבר כזה, שספק אם יאפשר המשך חלוקת זמני שהות שווה, לא יותר. ועל כן, הגם שהנתבעת הצהירה שכוונתה לשנות בהמשך גם את מסגרת החינוך של הקטינות היא לא עתרה בתביעה מתאימה. ניכר אפוא שחלוקת תכנית העתקת מרכז החיים של הקטינות לשני שלבים נועדה כדי ליצור מציאות בשטח</w:t>
      </w:r>
      <w:r w:rsidR="00611893">
        <w:rPr>
          <w:rFonts w:eastAsia="Arial Unicode MS" w:hint="cs"/>
          <w:rtl/>
          <w:lang w:eastAsia="he-IL"/>
        </w:rPr>
        <w:t xml:space="preserve">, כאשר השלב הראשון </w:t>
      </w:r>
      <w:r>
        <w:rPr>
          <w:rFonts w:eastAsia="Arial Unicode MS" w:hint="cs"/>
          <w:rtl/>
          <w:lang w:eastAsia="he-IL"/>
        </w:rPr>
        <w:t>– העתקת מקום מגורי הקטינות ל</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xml:space="preserve"> - </w:t>
      </w:r>
      <w:r w:rsidR="00611893">
        <w:rPr>
          <w:rFonts w:eastAsia="Arial Unicode MS" w:hint="cs"/>
          <w:rtl/>
          <w:lang w:eastAsia="he-IL"/>
        </w:rPr>
        <w:t>י</w:t>
      </w:r>
      <w:r>
        <w:rPr>
          <w:rFonts w:eastAsia="Arial Unicode MS" w:hint="cs"/>
          <w:rtl/>
          <w:lang w:eastAsia="he-IL"/>
        </w:rPr>
        <w:t>כשיר את התנאים לשלב השני. הגם שהנתבעת לא העלתה את הסוגיה לדיון קשה להתעלם מכך שהמדובר בתוצאה מתחייבת מהמציאות שה</w:t>
      </w:r>
      <w:r w:rsidR="00611893">
        <w:rPr>
          <w:rFonts w:eastAsia="Arial Unicode MS" w:hint="cs"/>
          <w:rtl/>
          <w:lang w:eastAsia="he-IL"/>
        </w:rPr>
        <w:t>יא</w:t>
      </w:r>
      <w:r>
        <w:rPr>
          <w:rFonts w:eastAsia="Arial Unicode MS" w:hint="cs"/>
          <w:rtl/>
          <w:lang w:eastAsia="he-IL"/>
        </w:rPr>
        <w:t xml:space="preserve"> מבקשת ליצור בעולם המעשה ולכן לא ניתן לבחון את המעבר רק מנקודת המבט המצומצמת </w:t>
      </w:r>
      <w:r w:rsidR="00611893">
        <w:rPr>
          <w:rFonts w:eastAsia="Arial Unicode MS" w:hint="cs"/>
          <w:rtl/>
          <w:lang w:eastAsia="he-IL"/>
        </w:rPr>
        <w:t>אותה היא מדגישה</w:t>
      </w:r>
      <w:r>
        <w:rPr>
          <w:rFonts w:eastAsia="Arial Unicode MS" w:hint="cs"/>
          <w:rtl/>
          <w:lang w:eastAsia="he-IL"/>
        </w:rPr>
        <w:t xml:space="preserve"> בטיעוניה.</w:t>
      </w:r>
    </w:p>
    <w:p w:rsidR="007D3670" w:rsidRDefault="007D3670" w:rsidP="00790D6D">
      <w:pPr>
        <w:spacing w:line="360" w:lineRule="auto"/>
        <w:ind w:left="720"/>
      </w:pPr>
    </w:p>
    <w:p w:rsidR="004579BD" w:rsidRDefault="007D3670" w:rsidP="00790D6D">
      <w:pPr>
        <w:numPr>
          <w:ilvl w:val="0"/>
          <w:numId w:val="1"/>
        </w:numPr>
        <w:spacing w:line="360" w:lineRule="auto"/>
        <w:jc w:val="both"/>
      </w:pPr>
      <w:r>
        <w:rPr>
          <w:rFonts w:hint="cs"/>
          <w:rtl/>
        </w:rPr>
        <w:t>ניכר מטענות הנתבעת</w:t>
      </w:r>
      <w:r w:rsidR="00782A77">
        <w:rPr>
          <w:rFonts w:hint="cs"/>
          <w:rtl/>
        </w:rPr>
        <w:t>,</w:t>
      </w:r>
      <w:r>
        <w:rPr>
          <w:rFonts w:hint="cs"/>
          <w:rtl/>
        </w:rPr>
        <w:t xml:space="preserve"> וכך גם התרשמה העו"ס מדברי</w:t>
      </w:r>
      <w:r w:rsidR="00782A77">
        <w:rPr>
          <w:rFonts w:hint="cs"/>
          <w:rtl/>
        </w:rPr>
        <w:t>ה,</w:t>
      </w:r>
      <w:r>
        <w:rPr>
          <w:rFonts w:hint="cs"/>
          <w:rtl/>
        </w:rPr>
        <w:t xml:space="preserve"> שהמשך הלימודים של הקטינות בירושלים הוא אילוץ זמני כיוון שלעת הזאת אין בידיה אפשרות אחרת. הסעת הקטינות לירושלים מידי יום בהתחשב בלוח הזמנים של הקטינות והמתנה לסיום הפעילויות (השונות) של כל אחת מהן בירושלים תטיל מעמסה רבה על כתפי הנתבעת ותהיה כרוכה מטבע הדברים בסבל וטרחה כה גדולים שעלולים כאמור לגרום לה לנסות ולהתנער מהם. הדברים מקבלים משנה תוקף שעה שגבי דידה המדובר באילוץ המתחייב על מנת להמשיך ולקיים את זמני השהות השווים עם התובע הנוהגים כיום, וכאשר ספק אם היא מכירה בחשיבותם. טענת התובע לפיה הנתבעת אינה מכירה במקומו בחיי הקטינות כשווה למקומה בחייהן קיבלה חיזוק מהעו"ס שמצאה שהנתבעת נותנת פחות חשיבות לקשר של התובע עם הקטינות (עמ' 51 שורות 16-17 לפרוטוקול), וכי בשיח על המעבר הרגישה "</w:t>
      </w:r>
      <w:r>
        <w:rPr>
          <w:rFonts w:hint="cs"/>
          <w:b/>
          <w:bCs/>
          <w:rtl/>
        </w:rPr>
        <w:t>שהיא רואה את הבנייה של התא המשפחתי שלה בחשיבות גבוהה יותר מאשר המימוש של הקשר</w:t>
      </w:r>
      <w:r>
        <w:rPr>
          <w:rFonts w:hint="cs"/>
          <w:rtl/>
        </w:rPr>
        <w:t>" (שם, שורות 21-22). תמיכה בהתרשמות זו ניתן למצוא בהתרשמות המומחה בהליך הקודם</w:t>
      </w:r>
      <w:r>
        <w:rPr>
          <w:rFonts w:eastAsia="Arial Unicode MS" w:hint="cs"/>
          <w:rtl/>
          <w:lang w:eastAsia="he-IL"/>
        </w:rPr>
        <w:t xml:space="preserve"> (ראו למשל דיווח מיום 7.6.20). כמו גם </w:t>
      </w:r>
      <w:r>
        <w:rPr>
          <w:rFonts w:hint="cs"/>
          <w:rtl/>
        </w:rPr>
        <w:t>בעובדה שלכתחילה הודיעה הנתבעת לתובע על החלטתה לעבור ל</w:t>
      </w:r>
      <w:r w:rsidR="00041CED">
        <w:rPr>
          <w:rFonts w:hint="cs"/>
          <w:rtl/>
        </w:rPr>
        <w:t>-</w:t>
      </w:r>
      <w:r w:rsidR="00041CED">
        <w:rPr>
          <w:rFonts w:hint="cs"/>
        </w:rPr>
        <w:t>Z</w:t>
      </w:r>
      <w:r>
        <w:rPr>
          <w:rFonts w:hint="cs"/>
          <w:rtl/>
        </w:rPr>
        <w:t xml:space="preserve"> כעובדה מוגמרת וסירבה בנחרצות לבקשותיו להיפגש ולדון בכך והתנתה את הפגישה עמו בהשתתפות בעלה (ועוד טרם נישואיהם; עמ' 4 שורה 23 לפרוטוקול מיום 14.3.24). אף אם סברה הנתבעת שהוראות ההסכם מתירות לה לעשות כן, גם לפיהן נדרשת היא להתחשב </w:t>
      </w:r>
      <w:r w:rsidR="00275F47">
        <w:rPr>
          <w:rFonts w:hint="cs"/>
          <w:rtl/>
        </w:rPr>
        <w:t>בתובע ו</w:t>
      </w:r>
      <w:r>
        <w:rPr>
          <w:rFonts w:hint="cs"/>
          <w:rtl/>
        </w:rPr>
        <w:t>בטובת הקטינות, וגם לשיטתה המעבר הצריך שיתוף פעולה מצד</w:t>
      </w:r>
      <w:r w:rsidR="00275F47">
        <w:rPr>
          <w:rFonts w:hint="cs"/>
          <w:rtl/>
        </w:rPr>
        <w:t>ו</w:t>
      </w:r>
      <w:r>
        <w:rPr>
          <w:rFonts w:hint="cs"/>
          <w:rtl/>
        </w:rPr>
        <w:t xml:space="preserve"> </w:t>
      </w:r>
      <w:r w:rsidR="00275F47">
        <w:rPr>
          <w:rFonts w:hint="cs"/>
          <w:rtl/>
        </w:rPr>
        <w:t>ב</w:t>
      </w:r>
      <w:r>
        <w:rPr>
          <w:rFonts w:hint="cs"/>
          <w:rtl/>
        </w:rPr>
        <w:t>החלפת ימי השהות על מנת לאפשר לקטינות להמשיך להשתתף בתנועת הנוער. הנתבעת גם לא חלקה על כך שביקשה מהתובע לא לשוחח על המעבר עם הבנות (שידעה שהוא מתנגד אליו), אך עשתה כן בעצמה ו"לא הספיקה" לעדכן אותו (נספח 10 לתצהיר התובע).</w:t>
      </w:r>
    </w:p>
    <w:p w:rsidR="007D3670" w:rsidRDefault="007D3670" w:rsidP="00790D6D">
      <w:pPr>
        <w:spacing w:line="360" w:lineRule="auto"/>
        <w:ind w:left="720"/>
        <w:jc w:val="both"/>
      </w:pPr>
      <w:r>
        <w:rPr>
          <w:rFonts w:hint="cs"/>
          <w:rtl/>
        </w:rPr>
        <w:lastRenderedPageBreak/>
        <w:t xml:space="preserve">הנתבעת גם פנתה עם בעלה להתייעצות </w:t>
      </w:r>
      <w:r w:rsidR="00275F47">
        <w:rPr>
          <w:rFonts w:hint="cs"/>
          <w:rtl/>
        </w:rPr>
        <w:t xml:space="preserve">עם </w:t>
      </w:r>
      <w:r>
        <w:rPr>
          <w:rFonts w:hint="cs"/>
          <w:rtl/>
        </w:rPr>
        <w:t>גורמי טיפול לבחינת המגורים המשותפים על ילדיהם, אך לא מצאה לנכון בנסיבות לבחון בעזרת גורמי טיפול את השפעת המעבר על הקטינות טרם קבלת החלטה לעשות כן.</w:t>
      </w:r>
    </w:p>
    <w:p w:rsidR="007D3670" w:rsidRDefault="007D3670" w:rsidP="00790D6D">
      <w:pPr>
        <w:spacing w:line="360" w:lineRule="auto"/>
        <w:ind w:left="720"/>
        <w:jc w:val="both"/>
      </w:pPr>
      <w:r>
        <w:rPr>
          <w:rFonts w:hint="cs"/>
          <w:rtl/>
        </w:rPr>
        <w:t xml:space="preserve">התרשמות זו עולה בקנה אחד גם עם התנגדות הנתבעת משך השנים לקיום זמני השהות של הקטינות עם התובע כפי שנקבעו בהסכם; </w:t>
      </w:r>
      <w:r w:rsidR="00275F47">
        <w:rPr>
          <w:rFonts w:hint="cs"/>
          <w:rtl/>
        </w:rPr>
        <w:t xml:space="preserve">עם </w:t>
      </w:r>
      <w:r>
        <w:rPr>
          <w:rFonts w:hint="cs"/>
          <w:rtl/>
        </w:rPr>
        <w:t>ניסיונה לצמצם את זמני השהות של הקטינות עם התובע במהלך חופשות הקיץ (בשנים 2018-2020); ועם הודאתה שביקשה לצמצם את זמני השהות של הקטינות עם התובע גם בקיץ 2023 משום שכעסה על צו המניעה שניתן בהליך זה (עמ' 5 שורות 9-12 לפרוטוקול מיום 14.3.24).</w:t>
      </w:r>
    </w:p>
    <w:p w:rsidR="007D3670" w:rsidRDefault="007D3670" w:rsidP="00790D6D">
      <w:pPr>
        <w:pStyle w:val="ae"/>
      </w:pPr>
    </w:p>
    <w:p w:rsidR="007D3670" w:rsidRDefault="007D3670" w:rsidP="00790D6D">
      <w:pPr>
        <w:numPr>
          <w:ilvl w:val="0"/>
          <w:numId w:val="1"/>
        </w:numPr>
        <w:spacing w:line="360" w:lineRule="auto"/>
        <w:jc w:val="both"/>
        <w:rPr>
          <w:rtl/>
        </w:rPr>
      </w:pPr>
      <w:r>
        <w:rPr>
          <w:rFonts w:hint="cs"/>
          <w:rtl/>
        </w:rPr>
        <w:t xml:space="preserve">הנתבעת הצהירה שרואה היא בהמשך לימודי הקטינות בירושלים כפתרון זמני, ובנסיבות שפורטו קשה לסמוך </w:t>
      </w:r>
      <w:r w:rsidR="00275F47">
        <w:rPr>
          <w:rFonts w:hint="cs"/>
          <w:rtl/>
        </w:rPr>
        <w:t>עליה</w:t>
      </w:r>
      <w:r>
        <w:rPr>
          <w:rFonts w:hint="cs"/>
          <w:rtl/>
        </w:rPr>
        <w:t xml:space="preserve"> כמי שתחזיק קשר בין עירוני ולא כל שכן לאורך זמן. </w:t>
      </w:r>
    </w:p>
    <w:p w:rsidR="007D3670" w:rsidRDefault="007D3670" w:rsidP="00790D6D">
      <w:pPr>
        <w:pStyle w:val="ae"/>
      </w:pPr>
      <w:r>
        <w:rPr>
          <w:rFonts w:eastAsia="Arial Unicode MS" w:hint="cs"/>
          <w:rtl/>
          <w:lang w:eastAsia="he-IL"/>
        </w:rPr>
        <w:t xml:space="preserve">כמו כן, המעבר יצור תלות קבועה בנתבעת ובהמשך הסעת הקטינות לירושלים למסגרת החינוכית ולפעילות החברתית. יצירת תלות קבועה בנתבעת בעניין כה משמעותי לטובת הקטינות של המשך חלוקת זמני השהות השווה בין הצדדים אינה מצב נכון. במיוחד הדברים אמורים, כפי שהסבירה העו"ס, עת לצדדים קושי להגיע להידברות בסוגיות שונות שקשורות בקטינות (קושי המוכר לבית המשפט מהליכים קודמים). לסברת העו"ס המרחק הגיאוגרפי עשוי להשפיע לרעה על חוסר התקשורת שביניהם וגם בכך תפגע טובת הקטינות. העו"ס הזכירה בחקירתה גם את חוסר הגמישות והנוקשות מצד התובע, כמו גם את העובדה שהנתבעת נותנת פחות חשיבות למקום של התובע בחיי הבנות. מעבר מגורים לעיר אחרת יחייב – מטבע הדברים – יותר תקשורת ויותר גמישות. דפוסי ההתנהלות של הצדדים וקשיי התקשורת ביניהם מקשים עוד יותר על שקילת אפשרות המעבר. </w:t>
      </w:r>
    </w:p>
    <w:p w:rsidR="007D3670" w:rsidRDefault="007D3670" w:rsidP="00790D6D">
      <w:pPr>
        <w:pStyle w:val="ae"/>
      </w:pPr>
    </w:p>
    <w:p w:rsidR="007D3670" w:rsidRDefault="007D3670" w:rsidP="00790D6D">
      <w:pPr>
        <w:pStyle w:val="ae"/>
        <w:numPr>
          <w:ilvl w:val="0"/>
          <w:numId w:val="1"/>
        </w:numPr>
      </w:pPr>
      <w:r>
        <w:rPr>
          <w:rFonts w:eastAsia="Arial Unicode MS" w:hint="cs"/>
          <w:rtl/>
          <w:lang w:eastAsia="he-IL"/>
        </w:rPr>
        <w:t>העו"ס המליצה למנוע את המעבר ל</w:t>
      </w:r>
      <w:r w:rsidR="00041CED">
        <w:rPr>
          <w:rFonts w:eastAsia="Arial Unicode MS" w:hint="cs"/>
          <w:rtl/>
          <w:lang w:eastAsia="he-IL"/>
        </w:rPr>
        <w:t>-</w:t>
      </w:r>
      <w:r w:rsidR="00041CED">
        <w:rPr>
          <w:rFonts w:eastAsia="Arial Unicode MS" w:hint="cs"/>
          <w:lang w:eastAsia="he-IL"/>
        </w:rPr>
        <w:t>Z</w:t>
      </w:r>
      <w:r>
        <w:rPr>
          <w:rFonts w:eastAsia="Arial Unicode MS" w:hint="cs"/>
          <w:rtl/>
          <w:lang w:eastAsia="he-IL"/>
        </w:rPr>
        <w:t xml:space="preserve"> למרות שהקטינות ימשיכו להתחנך בירושלים ומרכז חייהן יימשך בירושלים. בהתחשב במצבן הרגשי של הקטינות שהמגורים הסמוכים של הצדדים מסייעים להחזיק אותו, הקושי שלהן בהתמודדות עם פרידות ושינויים, בעומס שיטיל עליהן המעבר ובריחוק ממרכז חייהן המלצת העו"ס מסתברת בעיני. כן מסתברת בעיני מסקנתה שגם במצב דברים זה ואף ללא שינוי במסגרת החינוך עלול להיפגע הקשר של הקטינות עם התובע. קל וחומר שהמעבר יפגע בקשר של הקטינות עם התובע אם תשלים הנתבעת את השלב השני של תכניתה ומרכז החיים של הקטינות יועתק לעיר </w:t>
      </w:r>
      <w:r w:rsidR="00041CED">
        <w:rPr>
          <w:rFonts w:eastAsia="Arial Unicode MS" w:hint="cs"/>
          <w:lang w:eastAsia="he-IL"/>
        </w:rPr>
        <w:t>Z</w:t>
      </w:r>
      <w:r>
        <w:rPr>
          <w:rFonts w:eastAsia="Arial Unicode MS" w:hint="cs"/>
          <w:rtl/>
          <w:lang w:eastAsia="he-IL"/>
        </w:rPr>
        <w:t xml:space="preserve"> שיחייב מטבע הדברים את צמצום זמני השהות של הקטינות עם התובע ביחס להסדר הקיים היום וירחיקו את הקטינות ממנו באופן העלול לפגוע בהורותו. מאב המעורב ברמה היומיומית בחיי הקטינות יהפוך התובע לאב שזמני השהות עמו מצומצמים יותר, המתגורר בעיר אחרת ושיתקשה להיות מעורב במסגרות החינוך, באירועים חברתיים ובחיי היום יום של בנותיו, כפי שמתקיים כיום [ראו בהקשר זה: </w:t>
      </w:r>
      <w:r>
        <w:rPr>
          <w:rFonts w:hint="cs"/>
          <w:rtl/>
        </w:rPr>
        <w:t>תלה"מ (ת"א) 17292-05-19‏ ‏</w:t>
      </w:r>
      <w:r>
        <w:rPr>
          <w:rFonts w:hint="cs"/>
          <w:b/>
          <w:bCs/>
          <w:rtl/>
        </w:rPr>
        <w:t>א. ח נ' י. ח</w:t>
      </w:r>
      <w:r>
        <w:rPr>
          <w:rFonts w:hint="cs"/>
          <w:rtl/>
        </w:rPr>
        <w:t xml:space="preserve"> (פורסם בנבו, 7.12.20); תמ"ש (י-ם) 6415-11-11  </w:t>
      </w:r>
      <w:r>
        <w:rPr>
          <w:rFonts w:hint="cs"/>
          <w:b/>
          <w:bCs/>
          <w:rtl/>
        </w:rPr>
        <w:t>האב נ' האם</w:t>
      </w:r>
      <w:r>
        <w:rPr>
          <w:rFonts w:hint="cs"/>
          <w:rtl/>
        </w:rPr>
        <w:t xml:space="preserve"> (פורסם בנבו, 11.7.12)].</w:t>
      </w:r>
    </w:p>
    <w:p w:rsidR="007D3670" w:rsidRDefault="007D3670" w:rsidP="00790D6D">
      <w:pPr>
        <w:pStyle w:val="ae"/>
        <w:numPr>
          <w:ilvl w:val="0"/>
          <w:numId w:val="1"/>
        </w:numPr>
        <w:rPr>
          <w:rtl/>
        </w:rPr>
      </w:pPr>
      <w:r>
        <w:rPr>
          <w:rFonts w:hint="cs"/>
          <w:rtl/>
        </w:rPr>
        <w:lastRenderedPageBreak/>
        <w:t>הנתבעת הדגישה את רצון הקטינות במעבר ל</w:t>
      </w:r>
      <w:r w:rsidR="00041CED">
        <w:rPr>
          <w:rFonts w:hint="cs"/>
          <w:rtl/>
        </w:rPr>
        <w:t>-</w:t>
      </w:r>
      <w:r w:rsidR="00041CED">
        <w:rPr>
          <w:rFonts w:hint="cs"/>
        </w:rPr>
        <w:t>Z</w:t>
      </w:r>
      <w:r>
        <w:rPr>
          <w:rFonts w:hint="cs"/>
          <w:rtl/>
        </w:rPr>
        <w:t xml:space="preserve"> וטענה שהעו"ס ביטלה אותו בתסקירה. כבר נקבע זה מכבר שרצון הילד אינו שיקול יחיד אלא אחד מהשיקולים מתוך מכלול נרחב יותר של גורמים שמטרתם להכריע מה באמת ראוי ורצוי מבחינת טובתו של הקטין </w:t>
      </w:r>
      <w:r w:rsidRPr="004579BD">
        <w:rPr>
          <w:rtl/>
        </w:rPr>
        <w:t>והתפתחותו (ובהקשר זה מיותר להדגיש שרצונו של קטין לא תמיד מתיישב עם טובתו) [</w:t>
      </w:r>
      <w:hyperlink r:id="rId18" w:history="1">
        <w:r w:rsidRPr="004579BD">
          <w:rPr>
            <w:rStyle w:val="Hyperlink"/>
            <w:rFonts w:ascii="David" w:hAnsi="David" w:cs="David"/>
            <w:color w:val="auto"/>
            <w:sz w:val="20"/>
            <w:u w:val="none"/>
            <w:rtl/>
          </w:rPr>
          <w:t>ע"א 740/87</w:t>
        </w:r>
      </w:hyperlink>
      <w:r w:rsidRPr="004579BD">
        <w:rPr>
          <w:sz w:val="20"/>
          <w:rtl/>
        </w:rPr>
        <w:t xml:space="preserve"> </w:t>
      </w:r>
      <w:r w:rsidRPr="004579BD">
        <w:rPr>
          <w:b/>
          <w:bCs/>
          <w:sz w:val="20"/>
          <w:rtl/>
        </w:rPr>
        <w:t xml:space="preserve">פלונית נ' אלמוני </w:t>
      </w:r>
      <w:r w:rsidRPr="004579BD">
        <w:rPr>
          <w:sz w:val="20"/>
          <w:rtl/>
        </w:rPr>
        <w:t xml:space="preserve"> (פורסם בנבו, 27.4.89)].</w:t>
      </w:r>
      <w:r w:rsidRPr="004579BD">
        <w:rPr>
          <w:rtl/>
        </w:rPr>
        <w:t xml:space="preserve"> המשקל שיינתן לרצון הקטין תלוי בגילו,</w:t>
      </w:r>
      <w:r w:rsidRPr="004579BD">
        <w:rPr>
          <w:rFonts w:hint="cs"/>
          <w:rtl/>
        </w:rPr>
        <w:t xml:space="preserve"> </w:t>
      </w:r>
      <w:r>
        <w:rPr>
          <w:rFonts w:hint="cs"/>
          <w:rtl/>
        </w:rPr>
        <w:t>במידת בגרותו, בנחרצותו, בנסיבות, בהשפעות חיצוניות וכדומה [</w:t>
      </w:r>
      <w:r>
        <w:rPr>
          <w:rFonts w:hint="cs"/>
          <w:sz w:val="16"/>
          <w:rtl/>
        </w:rPr>
        <w:t xml:space="preserve">בע"מ 672/06 </w:t>
      </w:r>
      <w:r>
        <w:rPr>
          <w:rFonts w:hint="cs"/>
          <w:b/>
          <w:bCs/>
          <w:sz w:val="16"/>
          <w:rtl/>
        </w:rPr>
        <w:t xml:space="preserve">פלונית נ' פלוני </w:t>
      </w:r>
      <w:r>
        <w:rPr>
          <w:rFonts w:hint="cs"/>
          <w:sz w:val="16"/>
          <w:rtl/>
        </w:rPr>
        <w:t>(פורסם בנבו, 15.10.06)]</w:t>
      </w:r>
      <w:r>
        <w:rPr>
          <w:rFonts w:hint="cs"/>
          <w:rtl/>
        </w:rPr>
        <w:t xml:space="preserve">. </w:t>
      </w:r>
    </w:p>
    <w:p w:rsidR="007D3670" w:rsidRDefault="007D3670" w:rsidP="00790D6D">
      <w:pPr>
        <w:pStyle w:val="ae"/>
      </w:pPr>
    </w:p>
    <w:p w:rsidR="007D3670" w:rsidRDefault="007D3670" w:rsidP="00790D6D">
      <w:pPr>
        <w:pStyle w:val="ae"/>
        <w:numPr>
          <w:ilvl w:val="0"/>
          <w:numId w:val="1"/>
        </w:numPr>
        <w:rPr>
          <w:rtl/>
        </w:rPr>
      </w:pPr>
      <w:r>
        <w:rPr>
          <w:rFonts w:hint="cs"/>
          <w:rtl/>
        </w:rPr>
        <w:t xml:space="preserve">העו"ס שמעה את הקטינות והטתה אוזן לרצונן אך הביעה ספק במידת הבנת הקטינות את מצב הדברים בו הן נתונות, וכן הביעה ספק אם הן מבטאות רצון עצמאי ובלתי תלוי. העו"ס התרשמה שרצון הקטינות אינו רב משמעות ובעל עצמה ניכרת וכי הוא משקף את רצון הנתבעת אשר "הסלילה" אותן אליו. בהתחשב באמור, בגילן של הקטינות ובעובדה שהן מצויות בתווך בקונפליקט בין הוריהם לא מצאה ליתן לרצונן משקל רב. העו"ס הדגישה </w:t>
      </w:r>
      <w:r>
        <w:rPr>
          <w:rFonts w:hint="cs"/>
          <w:b/>
          <w:rtl/>
        </w:rPr>
        <w:t>"</w:t>
      </w:r>
      <w:r>
        <w:rPr>
          <w:rFonts w:hint="cs"/>
          <w:bCs/>
          <w:rtl/>
        </w:rPr>
        <w:t>ילדה בת 13 וחצי היא עדיין קטינה, כמו שאנחנו לא ניתן לה להכריע בסוגיות אחרות שהן משמעותיות, בפרט פה, שבעצם היא נמצאת בתווך בקונפליקט בין ההורים, משמעותי במיוחד. אנחנו לא ניתן לה את כל כובד המשקל, אנחנו נשמע את הדברים שלה, נתייחס אליהם, גם נשמע מה עומד מאחוריהם, אני אגיד ששכמו שכתבתי, אחד הטענות המרכזיות שהיא העלתה זה באמת חדר פרטי. זה היה טענה שככה היא חזרה עליה, וחדר פרטי הוא לא סיבה למעבר בין ערים</w:t>
      </w:r>
      <w:r>
        <w:rPr>
          <w:rFonts w:hint="cs"/>
          <w:b/>
          <w:rtl/>
        </w:rPr>
        <w:t xml:space="preserve">"  </w:t>
      </w:r>
      <w:r>
        <w:rPr>
          <w:rFonts w:hint="cs"/>
          <w:rtl/>
        </w:rPr>
        <w:t>(עמ' 42 שורה 36 – עמ' 43 שורה 5 לפרוטוקול). אשר לרצון הקטינות הדגישה העו"ס גם בתסקיר וגם בחקירתה "</w:t>
      </w:r>
      <w:r>
        <w:rPr>
          <w:rFonts w:hint="cs"/>
          <w:b/>
          <w:bCs/>
          <w:rtl/>
        </w:rPr>
        <w:t>שהיה איזשהו תהליך הסללה לכיוון המעבר הזה, כמו למשל העובדה ש</w:t>
      </w:r>
      <w:r w:rsidR="00041CED">
        <w:rPr>
          <w:rFonts w:hint="cs"/>
          <w:b/>
          <w:bCs/>
        </w:rPr>
        <w:t>X</w:t>
      </w:r>
      <w:r>
        <w:rPr>
          <w:rFonts w:hint="cs"/>
          <w:b/>
          <w:bCs/>
          <w:rtl/>
        </w:rPr>
        <w:t xml:space="preserve"> בוחרת פריטים לחדר שלה ב</w:t>
      </w:r>
      <w:r w:rsidR="00041CED">
        <w:rPr>
          <w:rFonts w:hint="cs"/>
          <w:b/>
          <w:bCs/>
          <w:rtl/>
        </w:rPr>
        <w:t>-</w:t>
      </w:r>
      <w:r w:rsidR="00041CED">
        <w:rPr>
          <w:rFonts w:hint="cs"/>
          <w:b/>
          <w:bCs/>
        </w:rPr>
        <w:t>Z</w:t>
      </w:r>
      <w:r>
        <w:rPr>
          <w:rFonts w:hint="cs"/>
          <w:b/>
          <w:bCs/>
          <w:rtl/>
        </w:rPr>
        <w:t>, או הבנות, דיברו על המעבר הזה</w:t>
      </w:r>
      <w:r>
        <w:rPr>
          <w:rFonts w:hint="cs"/>
          <w:b/>
          <w:rtl/>
        </w:rPr>
        <w:t>" (עמ' 50 שורות 3-5 לפרוטוקול).</w:t>
      </w:r>
      <w:r>
        <w:rPr>
          <w:rFonts w:hint="cs"/>
          <w:rtl/>
        </w:rPr>
        <w:t xml:space="preserve"> כן הדגישה שהבקשה המרכזית של הקטינות הייתה "</w:t>
      </w:r>
      <w:r>
        <w:rPr>
          <w:rFonts w:hint="cs"/>
          <w:b/>
          <w:bCs/>
          <w:rtl/>
        </w:rPr>
        <w:t>שקט וודאות בסוגיה זה משהו שעלה גם מ</w:t>
      </w:r>
      <w:r w:rsidR="00FD1B7C">
        <w:rPr>
          <w:rFonts w:hint="cs"/>
          <w:b/>
          <w:bCs/>
          <w:rtl/>
        </w:rPr>
        <w:t>-</w:t>
      </w:r>
      <w:r w:rsidR="00FD1B7C">
        <w:rPr>
          <w:rFonts w:hint="cs"/>
          <w:b/>
          <w:bCs/>
        </w:rPr>
        <w:t>Y</w:t>
      </w:r>
      <w:r>
        <w:rPr>
          <w:rFonts w:hint="cs"/>
          <w:b/>
          <w:bCs/>
          <w:rtl/>
        </w:rPr>
        <w:t xml:space="preserve"> שטענה שהיא לא אכפת לה אם נעבור או לא, זה היה ממש ציטוט שלה, היא טענה שאמא הכי רוצה לעבור, אבל היא לא אכפת לה אם לעבור או לא, ול</w:t>
      </w:r>
      <w:r w:rsidR="00041CED">
        <w:rPr>
          <w:rFonts w:hint="cs"/>
          <w:b/>
          <w:bCs/>
          <w:rtl/>
        </w:rPr>
        <w:t>-</w:t>
      </w:r>
      <w:r w:rsidR="00041CED">
        <w:rPr>
          <w:rFonts w:hint="cs"/>
          <w:b/>
          <w:bCs/>
        </w:rPr>
        <w:t>X</w:t>
      </w:r>
      <w:r w:rsidR="00041CED">
        <w:rPr>
          <w:rFonts w:hint="cs"/>
          <w:b/>
          <w:bCs/>
          <w:rtl/>
        </w:rPr>
        <w:t xml:space="preserve"> </w:t>
      </w:r>
      <w:r>
        <w:rPr>
          <w:rFonts w:hint="cs"/>
          <w:b/>
          <w:bCs/>
          <w:rtl/>
        </w:rPr>
        <w:t>שטענה, שאמרה לי בסוף השיחה איתה, שהיא רוצה כבר שתהיה החלטה כי קשה לה עם המתח שכרוך באי הידיעה, בעצם מה יהיה</w:t>
      </w:r>
      <w:r>
        <w:rPr>
          <w:rFonts w:hint="cs"/>
          <w:b/>
          <w:rtl/>
        </w:rPr>
        <w:t>"</w:t>
      </w:r>
      <w:r>
        <w:rPr>
          <w:rFonts w:hint="cs"/>
          <w:rtl/>
        </w:rPr>
        <w:t xml:space="preserve"> (שם, שורות 23-26 לפרוטוקול). המדובר בלבת שיקול הדעת המקצועי של העו"ס ולא מצאתי להתערב בו. העו"ס אמדה נכון את השיקולים השונים ביחס לבחינת המשקל שיינתן לרצון הקטינות ומקובלת עלי מסקנתה שלא ניתן להכריע על יסודו את התביעה.</w:t>
      </w:r>
    </w:p>
    <w:p w:rsidR="007D3670" w:rsidRDefault="007D3670" w:rsidP="00790D6D">
      <w:pPr>
        <w:pStyle w:val="ae"/>
        <w:rPr>
          <w:rtl/>
        </w:rPr>
      </w:pPr>
    </w:p>
    <w:p w:rsidR="004579BD" w:rsidRDefault="007D3670" w:rsidP="00790D6D">
      <w:pPr>
        <w:pStyle w:val="ae"/>
        <w:numPr>
          <w:ilvl w:val="0"/>
          <w:numId w:val="1"/>
        </w:numPr>
      </w:pPr>
      <w:r>
        <w:rPr>
          <w:rFonts w:hint="cs"/>
          <w:rtl/>
        </w:rPr>
        <w:t xml:space="preserve">סיכומו של דבר הוא שטובת הקטינות מחייבת את קבלת התביעה. בית המשפט מבין ללבה של התובעת ולרצונה להעתיק את מקום מגוריה לאלתר לבית בעלה בעיר </w:t>
      </w:r>
      <w:r w:rsidR="00041CED">
        <w:rPr>
          <w:rFonts w:hint="cs"/>
        </w:rPr>
        <w:t>Z</w:t>
      </w:r>
      <w:r>
        <w:rPr>
          <w:rFonts w:hint="cs"/>
          <w:rtl/>
        </w:rPr>
        <w:t xml:space="preserve"> ולגדל עמו את בתם המשותפת ולכתוב בעצמה את סיפור חייה. מאליו מובן שזוג שנישא והביא לעולם בת משותפת מבקש את החיים בצוותא כמשפחה תחת קורת גג משותפת בכל ימות השבוע וכי למגורים בנפרד השלכות על כל אחד מיחידי המשפחה. </w:t>
      </w:r>
    </w:p>
    <w:p w:rsidR="007D3670" w:rsidRPr="00071E3D" w:rsidRDefault="007D3670" w:rsidP="00790D6D">
      <w:pPr>
        <w:pStyle w:val="ae"/>
        <w:rPr>
          <w:rtl/>
        </w:rPr>
      </w:pPr>
      <w:r>
        <w:rPr>
          <w:rFonts w:hint="cs"/>
          <w:rtl/>
        </w:rPr>
        <w:lastRenderedPageBreak/>
        <w:t xml:space="preserve">זאת אף מבלי להתייחס להכבדה הכלכלית המשמעותית של החזקת שני בתים. נדמה גם שאין חולק שיש להתחשב בכך שרווחת הנתבעת ומגוריה במקום שבו היא מאושרת </w:t>
      </w:r>
      <w:r w:rsidRPr="004579BD">
        <w:rPr>
          <w:rFonts w:ascii="Arial" w:hAnsi="Arial" w:hint="cs"/>
          <w:rtl/>
        </w:rPr>
        <w:t xml:space="preserve">וזוכה לתמיכה </w:t>
      </w:r>
      <w:r w:rsidRPr="00071E3D">
        <w:rPr>
          <w:rtl/>
        </w:rPr>
        <w:t>רגשית וכלכלית של משפחה וחברים משפיעה באופן ישיר על רווחת הקטינות [</w:t>
      </w:r>
      <w:hyperlink r:id="rId19" w:history="1">
        <w:r w:rsidRPr="00071E3D">
          <w:rPr>
            <w:rStyle w:val="Hyperlink"/>
            <w:rFonts w:ascii="David" w:hAnsi="David" w:cs="David"/>
            <w:color w:val="auto"/>
            <w:u w:val="none"/>
            <w:rtl/>
          </w:rPr>
          <w:t>רמ"ש 63553-08-21</w:t>
        </w:r>
      </w:hyperlink>
      <w:r w:rsidRPr="00071E3D">
        <w:rPr>
          <w:rtl/>
        </w:rPr>
        <w:t xml:space="preserve"> </w:t>
      </w:r>
      <w:r w:rsidRPr="00071E3D">
        <w:rPr>
          <w:b/>
          <w:bCs/>
          <w:rtl/>
        </w:rPr>
        <w:t>ע' א' א' ואח'</w:t>
      </w:r>
      <w:r w:rsidRPr="00071E3D">
        <w:rPr>
          <w:rtl/>
        </w:rPr>
        <w:t xml:space="preserve"> (פורסם בנבו, 4.10.21); </w:t>
      </w:r>
      <w:hyperlink r:id="rId20" w:history="1">
        <w:r w:rsidRPr="00071E3D">
          <w:rPr>
            <w:rStyle w:val="Hyperlink"/>
            <w:rFonts w:ascii="David" w:hAnsi="David" w:cs="David"/>
            <w:color w:val="auto"/>
            <w:u w:val="none"/>
            <w:rtl/>
          </w:rPr>
          <w:t>עמ"ש 9963-06-11</w:t>
        </w:r>
      </w:hyperlink>
      <w:r w:rsidRPr="00071E3D">
        <w:rPr>
          <w:rtl/>
        </w:rPr>
        <w:t xml:space="preserve"> </w:t>
      </w:r>
      <w:r w:rsidRPr="00071E3D">
        <w:rPr>
          <w:b/>
          <w:bCs/>
          <w:rtl/>
        </w:rPr>
        <w:t>פלונית נ' אלמוני</w:t>
      </w:r>
      <w:r w:rsidRPr="00071E3D">
        <w:rPr>
          <w:rtl/>
        </w:rPr>
        <w:t xml:space="preserve"> (פורסם בנבו, 11.08.11)]. ברם, מנגד עומדת טובת הקטינות אשר נמצא שהמעבר לא יטיב עמהן. </w:t>
      </w:r>
    </w:p>
    <w:p w:rsidR="007D3670" w:rsidRDefault="007D3670" w:rsidP="00790D6D">
      <w:pPr>
        <w:pStyle w:val="ae"/>
      </w:pPr>
    </w:p>
    <w:p w:rsidR="007D3670" w:rsidRDefault="007D3670" w:rsidP="00790D6D">
      <w:pPr>
        <w:pStyle w:val="ae"/>
        <w:numPr>
          <w:ilvl w:val="0"/>
          <w:numId w:val="1"/>
        </w:numPr>
        <w:rPr>
          <w:rtl/>
        </w:rPr>
      </w:pPr>
      <w:r>
        <w:rPr>
          <w:rFonts w:hint="cs"/>
          <w:rtl/>
        </w:rPr>
        <w:t xml:space="preserve">עוד יש להדגיש בהקשר זה שבתא המשפחתי שבחרה הנתבעת ליצור עם בעלה הנוכחי הם בחרו שאם מישהו מהם צריך לעבור עיר זו דווקא הנתבעת ולא בעלה. הנתבעת "כלאה" את עצמה בסיטואציה קשה אך כמו שהתרשמה העו"ס מסופקני אם בנסיבות ענייננו המדובר בהחלטה מושכלת שראתה את טובת הקטינות. המדובר בצדדים שניהלו מאבק משפטי בעניין בנותיהן הקטינות ביסוד הדברים מאז שאושר ההסכם. התקשורת ביניהם לקויה והם העמידו מאז אישור ההסכם את בנותיהם הקטינות בתווך ביניהם וההשפעות השליליות של כך עליהן לא איחרו לבוא, ונדרשו הליכים טיפוליים משפחתיים ואישיים לקטינות להן קושי עם מעברים ושינויים. כשסוף סוף באה מנוחה ליגע, והקטינות מצאו את מקומן בבתים של שני הצדדים, אותם הן תופסות כבית מרכזי, ובחלוקה שווה ביניהם, בחרו הנתבעת ובעלה שדווקא היא תעתיק את מקום מגורי בנותיה. </w:t>
      </w:r>
      <w:r w:rsidR="00C15E19">
        <w:rPr>
          <w:rFonts w:hint="cs"/>
          <w:rtl/>
        </w:rPr>
        <w:t>ו</w:t>
      </w:r>
      <w:r>
        <w:rPr>
          <w:rFonts w:hint="cs"/>
          <w:rtl/>
        </w:rPr>
        <w:t>הרי, גם בעלה של הנתבעת יכול היה להגיש תביעה דומה. ערה אני לטענת הנתבעת שההסכם של בעלה עם גרושתו אינו מאפשר לו להעתיק את מקום מגורי בנותיו מעבר ל- 20 ק"מ מ</w:t>
      </w:r>
      <w:r w:rsidR="00041CED">
        <w:rPr>
          <w:rFonts w:hint="cs"/>
          <w:rtl/>
        </w:rPr>
        <w:t>-</w:t>
      </w:r>
      <w:r w:rsidR="00041CED">
        <w:rPr>
          <w:rFonts w:hint="cs"/>
        </w:rPr>
        <w:t>Z</w:t>
      </w:r>
      <w:r>
        <w:rPr>
          <w:rFonts w:hint="cs"/>
          <w:rtl/>
        </w:rPr>
        <w:t xml:space="preserve"> ואולם כידוע לא די במשתנה זה. שכן, גם ביחס להסכם שלו יש לבחון אם חל שינוי נסיבות, את טובת בנותיו הקטינות, את מצב היחסים עם אמן מאז אישור ההסכם ועוד. כמו כן, ספק אם נבחנה על ידיהם אפשרות שתעלה בקנה אחד הן עם ההסכם שלו והן עם טובת הקטינות ושמירת זמני השהות שלהן והקשר שלהן עם התובע.</w:t>
      </w:r>
    </w:p>
    <w:p w:rsidR="007D3670" w:rsidRDefault="007D3670" w:rsidP="00790D6D">
      <w:pPr>
        <w:pStyle w:val="ae"/>
        <w:rPr>
          <w:rtl/>
        </w:rPr>
      </w:pPr>
      <w:r>
        <w:rPr>
          <w:rFonts w:hint="cs"/>
          <w:rtl/>
        </w:rPr>
        <w:t xml:space="preserve">בהקשר הפגיעה בזכות ההורה לבחור את מקום מגוריו קבע בית המשפט המחוזי בתל אביב: </w:t>
      </w:r>
      <w:r>
        <w:rPr>
          <w:rFonts w:ascii="Miriam" w:eastAsia="Times New Roman" w:hAnsi="Miriam" w:cs="Miriam"/>
          <w:b/>
          <w:bCs/>
          <w:rtl/>
        </w:rPr>
        <w:t>"</w:t>
      </w:r>
      <w:r>
        <w:rPr>
          <w:rFonts w:ascii="Miriam" w:hAnsi="Miriam" w:cs="Miriam"/>
          <w:b/>
          <w:bCs/>
          <w:rtl/>
        </w:rPr>
        <w:t>בקשה להעתקת מקום מגוריו של הקטין, הן בארץ והן לחו"ל, צריכה להיבחן לאור עקרון טובת הילד בלבד... אכן, זכותו של כל הורה לקבוע את מהלך חייו ולבחור את מקום מגוריו... ואולם, כפי שהיטיב לנסח זאת כב' השופט ניצן סילמן בתמ"ש (קריות) 6832/01/13 פלוני נ' פלונית (1.9.13) שעה שהוא דן בוויתור שמצופה מהורים לעשות לטובת ילדיהם בכל הנוגע למקום המגורים: 'חירות התנועה, זכות השיקום, הזכות לקבוע גורל קטין - כל אלו זכויות הוריות; אלו מתגמדות למול טובתו של ד'. כאשר מביאים אנו, כהורים, ילדים לעולם, 'מוותרים' אנו על זכויות רבות - נשללת מאתנו פרטיות, חופש מסוים, שלווה מסוימת, וזוכים אנו בהנאות רבות; הוויתור הינו מודע, כחלק מאחריותנו ההורית, יכולת השיקום, וניהול החיים לא נשללים אוטומטית, אלא שכפופים הם לטובת הקטין..."</w:t>
      </w:r>
      <w:r>
        <w:rPr>
          <w:rFonts w:ascii="Miriam" w:hAnsi="Miriam" w:cs="Miriam"/>
          <w:rtl/>
        </w:rPr>
        <w:t xml:space="preserve"> [</w:t>
      </w:r>
      <w:r>
        <w:rPr>
          <w:rFonts w:hint="cs"/>
          <w:rtl/>
        </w:rPr>
        <w:t xml:space="preserve">עמ"ש (מחוזי תל אביב) 59552-06-20‏‏ </w:t>
      </w:r>
      <w:r>
        <w:rPr>
          <w:rFonts w:hint="cs"/>
          <w:b/>
          <w:bCs/>
          <w:rtl/>
        </w:rPr>
        <w:t>פלונית נ' פלוני</w:t>
      </w:r>
      <w:r>
        <w:rPr>
          <w:rFonts w:hint="cs"/>
          <w:rtl/>
        </w:rPr>
        <w:t xml:space="preserve"> (פורסם בנבו, 7.1.21)].</w:t>
      </w:r>
    </w:p>
    <w:p w:rsidR="007D3670" w:rsidRDefault="007D3670" w:rsidP="00790D6D">
      <w:pPr>
        <w:pStyle w:val="ae"/>
        <w:numPr>
          <w:ilvl w:val="0"/>
          <w:numId w:val="1"/>
        </w:numPr>
      </w:pPr>
      <w:r>
        <w:rPr>
          <w:rFonts w:hint="cs"/>
          <w:rtl/>
        </w:rPr>
        <w:lastRenderedPageBreak/>
        <w:t>על אף המלצת העו"ס, ועל אף שבחקירתה הדגישה ששינוי חלוקת זמני השהות של הקטינות בין הצדדים לא יטיב עמהן, העלה בית המשפט הצעות בניסיון להביא את הצדדים להסכמות. הנתבעת מצדה סירבה לכל הצעה שתפחית את זמני השהות של הקטינות עמה (עמ' 5 שורה 26 לפרוטוקול מיום 14.3.24), עמדה מובנת נוכח כוונתה הסופית להעתיק את חיי הקטינות ל</w:t>
      </w:r>
      <w:r w:rsidR="00041CED">
        <w:rPr>
          <w:rFonts w:hint="cs"/>
          <w:rtl/>
        </w:rPr>
        <w:t>-</w:t>
      </w:r>
      <w:r w:rsidR="00041CED">
        <w:rPr>
          <w:rFonts w:hint="cs"/>
        </w:rPr>
        <w:t>Z</w:t>
      </w:r>
      <w:r>
        <w:rPr>
          <w:rFonts w:hint="cs"/>
          <w:rtl/>
        </w:rPr>
        <w:t>. התובע מצדו סירב לחלוקה שונה של ימי השהות (שיוותרו באותה כמות אצל כל צד) באופן שיכביד פחות על טלטלת הקטינות בדרכים, עמדה מובנת לאור עמדתו שעצם המעבר לא יטיב עמהן ולאור חששו מפני קביעת עובדות בשטח שיכתיבו בסופו של דבר את השלב השני בתכנית והפגיעה בהורותו.</w:t>
      </w:r>
    </w:p>
    <w:p w:rsidR="007D3670" w:rsidRDefault="007D3670" w:rsidP="00790D6D">
      <w:pPr>
        <w:pStyle w:val="ae"/>
      </w:pPr>
    </w:p>
    <w:p w:rsidR="007D3670" w:rsidRDefault="007D3670" w:rsidP="00790D6D">
      <w:pPr>
        <w:pStyle w:val="ae"/>
        <w:numPr>
          <w:ilvl w:val="0"/>
          <w:numId w:val="1"/>
        </w:numPr>
      </w:pPr>
      <w:r>
        <w:rPr>
          <w:rFonts w:hint="cs"/>
          <w:rtl/>
        </w:rPr>
        <w:t xml:space="preserve">עם כל ההבנה לרצונה של התובעת, ומבלי להקל ראש בזכותה לקבוע את מקום מגוריה בעצמה, בבחינת מכלול הנסיבות "האיזון המשולש" שבבסיסו טובת הקטינות אינו נוטה בשלב זה לטובת המעבר. משמעות פסק דין זה היא, שיש להיעתר לתביעה לצו מניעה המבוקש שכן טובת הקטינות אינה במעבר מגורים לעיר </w:t>
      </w:r>
      <w:r w:rsidR="00041CED">
        <w:rPr>
          <w:rFonts w:hint="cs"/>
        </w:rPr>
        <w:t>Z</w:t>
      </w:r>
      <w:r>
        <w:rPr>
          <w:rFonts w:hint="cs"/>
          <w:rtl/>
        </w:rPr>
        <w:t>.</w:t>
      </w:r>
    </w:p>
    <w:p w:rsidR="007D3670" w:rsidRDefault="007D3670" w:rsidP="00790D6D">
      <w:pPr>
        <w:pStyle w:val="ae"/>
      </w:pPr>
      <w:r>
        <w:rPr>
          <w:rFonts w:hint="cs"/>
          <w:rtl/>
        </w:rPr>
        <w:t xml:space="preserve">כמובן שאין באמור כדי למנוע מהצדדים להמשיך להידבר ולנסות למצוא פתרונות נוספים, או אף לקבוע מסמרות בשאלה האמורה מעתה ועד שימלאו לקטינות 18 שנים. פסק הדין מתייחס לנתונים הקיימים כיום ולנקודת האיזון הראויה בין השיקולים השונים. יתכן שאותו מרחק וזמן נסיעה יביא - בנסיבות שונות - לנקודת איזון שונה. </w:t>
      </w:r>
    </w:p>
    <w:p w:rsidR="007D3670" w:rsidRDefault="007D3670" w:rsidP="00790D6D">
      <w:pPr>
        <w:pStyle w:val="ae"/>
      </w:pPr>
    </w:p>
    <w:p w:rsidR="007D3670" w:rsidRDefault="007D3670" w:rsidP="00790D6D">
      <w:pPr>
        <w:pStyle w:val="ae"/>
        <w:numPr>
          <w:ilvl w:val="0"/>
          <w:numId w:val="1"/>
        </w:numPr>
        <w:rPr>
          <w:rtl/>
        </w:rPr>
      </w:pPr>
      <w:r>
        <w:rPr>
          <w:rFonts w:hint="cs"/>
          <w:rtl/>
        </w:rPr>
        <w:t>לאור האמור התביעה מתקבלת ואני מורה שלא יועתק מקום מגורי הקטינות לעיר אחרת אלא בהסכמת הצדדים בכתב או באישור בית המשפט לעשות כן.</w:t>
      </w:r>
    </w:p>
    <w:p w:rsidR="00C15E19" w:rsidRDefault="00C15E19" w:rsidP="00790D6D">
      <w:pPr>
        <w:pStyle w:val="ae"/>
        <w:rPr>
          <w:rtl/>
        </w:rPr>
      </w:pPr>
    </w:p>
    <w:p w:rsidR="007D3670" w:rsidRDefault="007D3670" w:rsidP="00790D6D">
      <w:pPr>
        <w:pStyle w:val="ae"/>
        <w:rPr>
          <w:rtl/>
        </w:rPr>
      </w:pPr>
      <w:r>
        <w:rPr>
          <w:rFonts w:hint="cs"/>
          <w:rtl/>
        </w:rPr>
        <w:t xml:space="preserve">בהתחשב בתוצאה </w:t>
      </w:r>
      <w:r w:rsidR="00071E3D">
        <w:rPr>
          <w:rFonts w:hint="cs"/>
          <w:rtl/>
        </w:rPr>
        <w:t xml:space="preserve">והיקף ההתדיינות </w:t>
      </w:r>
      <w:r>
        <w:rPr>
          <w:rFonts w:hint="cs"/>
          <w:rtl/>
        </w:rPr>
        <w:t>תישא הנתבעת בהוצאות התובע בסך של 20,000 ₪.</w:t>
      </w:r>
    </w:p>
    <w:p w:rsidR="007D3670" w:rsidRDefault="007D3670" w:rsidP="00790D6D">
      <w:pPr>
        <w:pStyle w:val="ae"/>
        <w:rPr>
          <w:rtl/>
        </w:rPr>
      </w:pPr>
    </w:p>
    <w:p w:rsidR="007D3670" w:rsidRDefault="007D3670" w:rsidP="00790D6D">
      <w:pPr>
        <w:pStyle w:val="ae"/>
        <w:rPr>
          <w:rtl/>
        </w:rPr>
      </w:pPr>
      <w:r>
        <w:rPr>
          <w:rFonts w:hint="cs"/>
          <w:rtl/>
        </w:rPr>
        <w:t xml:space="preserve">פסק הדין מותר </w:t>
      </w:r>
      <w:r w:rsidR="00071E3D">
        <w:rPr>
          <w:rFonts w:hint="cs"/>
          <w:rtl/>
        </w:rPr>
        <w:t>בפרסום</w:t>
      </w:r>
      <w:r>
        <w:rPr>
          <w:rFonts w:hint="cs"/>
          <w:rtl/>
        </w:rPr>
        <w:t xml:space="preserve"> בהשמטת פרטים מזהים.</w:t>
      </w:r>
    </w:p>
    <w:p w:rsidR="002914D6" w:rsidRDefault="002914D6" w:rsidP="00790D6D">
      <w:pPr>
        <w:spacing w:line="360" w:lineRule="auto"/>
        <w:jc w:val="both"/>
        <w:rPr>
          <w:rFonts w:ascii="Arial" w:hAnsi="Arial"/>
          <w:noProof w:val="0"/>
          <w:rtl/>
        </w:rPr>
      </w:pPr>
    </w:p>
    <w:p w:rsidR="002914D6" w:rsidRDefault="00011212" w:rsidP="00790D6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ז' כסלו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08 דצמבר 2024</w:t>
          </w:r>
        </w:sdtContent>
      </w:sdt>
      <w:r>
        <w:rPr>
          <w:rFonts w:ascii="Arial" w:hAnsi="Arial"/>
          <w:noProof w:val="0"/>
          <w:rtl/>
        </w:rPr>
        <w:t>, בהעדר הצדדים.</w:t>
      </w:r>
    </w:p>
    <w:p w:rsidR="002914D6" w:rsidRDefault="002914D6" w:rsidP="00790D6D">
      <w:pPr>
        <w:spacing w:line="360" w:lineRule="auto"/>
        <w:jc w:val="both"/>
        <w:rPr>
          <w:rFonts w:ascii="Arial" w:hAnsi="Arial"/>
          <w:noProof w:val="0"/>
          <w:rtl/>
        </w:rPr>
      </w:pPr>
    </w:p>
    <w:p w:rsidR="002914D6" w:rsidRDefault="00521467" w:rsidP="00790D6D">
      <w:pPr>
        <w:spacing w:line="360" w:lineRule="auto"/>
        <w:jc w:val="center"/>
      </w:pPr>
      <w:r>
        <w:rPr>
          <w:rtl/>
        </w:rPr>
        <w:tab/>
      </w:r>
      <w:r>
        <w:rPr>
          <w:rtl/>
        </w:rPr>
        <w:tab/>
      </w:r>
      <w:r>
        <w:rPr>
          <w:rtl/>
        </w:rPr>
        <w:tab/>
      </w:r>
      <w:sdt>
        <w:sdtPr>
          <w:rPr>
            <w:rtl/>
          </w:rPr>
          <w:alias w:val="MergeField"/>
          <w:tag w:val="1237"/>
          <w:id w:val="684245413"/>
        </w:sdtPr>
        <w:sdtEndPr/>
        <w:sdtContent>
          <w:r w:rsidR="00FD1B7C">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790D6D">
      <w:pPr>
        <w:spacing w:line="360" w:lineRule="auto"/>
        <w:jc w:val="center"/>
        <w:rPr>
          <w:rFonts w:ascii="Arial" w:hAnsi="Arial"/>
          <w:noProof w:val="0"/>
          <w:rtl/>
        </w:rPr>
      </w:pPr>
    </w:p>
    <w:p w:rsidR="002914D6" w:rsidRDefault="002914D6" w:rsidP="00790D6D">
      <w:pPr>
        <w:spacing w:line="360" w:lineRule="auto"/>
        <w:jc w:val="both"/>
        <w:rPr>
          <w:rFonts w:ascii="Arial" w:hAnsi="Arial"/>
          <w:noProof w:val="0"/>
          <w:rtl/>
        </w:rPr>
      </w:pPr>
    </w:p>
    <w:sectPr w:rsidR="002914D6" w:rsidSect="002914D6">
      <w:headerReference w:type="even" r:id="rId22"/>
      <w:headerReference w:type="default" r:id="rId23"/>
      <w:footerReference w:type="even" r:id="rId24"/>
      <w:footerReference w:type="default" r:id="rId25"/>
      <w:headerReference w:type="first" r:id="rId26"/>
      <w:footerReference w:type="first" r:id="rId2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FCD" w:rsidRDefault="00005FCD">
      <w:r>
        <w:separator/>
      </w:r>
    </w:p>
  </w:endnote>
  <w:endnote w:type="continuationSeparator" w:id="0">
    <w:p w:rsidR="00005FCD" w:rsidRDefault="0000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DC4" w:rsidRDefault="00E60D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60DC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60DC4">
      <w:rPr>
        <w:rStyle w:val="ab"/>
        <w:rtl/>
      </w:rPr>
      <w:t>22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DC4" w:rsidRDefault="00E60D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FCD" w:rsidRDefault="00005FCD">
      <w:r>
        <w:separator/>
      </w:r>
    </w:p>
  </w:footnote>
  <w:footnote w:type="continuationSeparator" w:id="0">
    <w:p w:rsidR="00005FCD" w:rsidRDefault="0000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DC4" w:rsidRDefault="00E60D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דצמבר 2024</w:t>
              </w:r>
            </w:p>
          </w:tc>
        </w:sdtContent>
      </w:sdt>
    </w:tr>
    <w:tr w:rsidR="002914D6">
      <w:trPr>
        <w:trHeight w:val="337"/>
        <w:jc w:val="center"/>
      </w:trPr>
      <w:tc>
        <w:tcPr>
          <w:tcW w:w="8721" w:type="dxa"/>
          <w:gridSpan w:val="2"/>
        </w:tcPr>
        <w:p w:rsidR="002914D6" w:rsidRDefault="00005FCD" w:rsidP="00DD0E4B">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40569-02-24</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DD0E4B">
                <w:rPr>
                  <w:rFonts w:hint="cs"/>
                  <w:b/>
                  <w:bCs/>
                  <w:noProof w:val="0"/>
                  <w:sz w:val="26"/>
                  <w:szCs w:val="26"/>
                  <w:rtl/>
                </w:rPr>
                <w:t>אלמוני</w:t>
              </w:r>
              <w:r w:rsidR="00DD0E4B">
                <w:rPr>
                  <w:b/>
                  <w:bCs/>
                  <w:noProof w:val="0"/>
                  <w:sz w:val="26"/>
                  <w:szCs w:val="26"/>
                  <w:rtl/>
                </w:rPr>
                <w:t xml:space="preserve"> נ'</w:t>
              </w:r>
              <w:r w:rsidR="00DD0E4B">
                <w:rPr>
                  <w:rFonts w:hint="cs"/>
                  <w:b/>
                  <w:bCs/>
                  <w:noProof w:val="0"/>
                  <w:sz w:val="26"/>
                  <w:szCs w:val="26"/>
                  <w:rtl/>
                </w:rPr>
                <w:t xml:space="preserve"> פלונית</w:t>
              </w:r>
            </w:sdtContent>
          </w:sdt>
        </w:p>
        <w:p w:rsidR="002914D6" w:rsidRDefault="002914D6">
          <w:pPr>
            <w:rPr>
              <w:rtl/>
            </w:rPr>
          </w:pPr>
        </w:p>
        <w:p w:rsidR="0080595B" w:rsidRDefault="0080595B">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DC4" w:rsidRDefault="00E60D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F2059A"/>
    <w:multiLevelType w:val="hybridMultilevel"/>
    <w:tmpl w:val="273A5A9C"/>
    <w:lvl w:ilvl="0" w:tplc="87008650">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 w15:restartNumberingAfterBreak="0">
    <w:nsid w:val="739B546E"/>
    <w:multiLevelType w:val="hybridMultilevel"/>
    <w:tmpl w:val="22BA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5FCD"/>
    <w:rsid w:val="00011212"/>
    <w:rsid w:val="000305B2"/>
    <w:rsid w:val="00041CED"/>
    <w:rsid w:val="00071E3D"/>
    <w:rsid w:val="00081E1C"/>
    <w:rsid w:val="00110618"/>
    <w:rsid w:val="00220C2A"/>
    <w:rsid w:val="00275F47"/>
    <w:rsid w:val="002914D6"/>
    <w:rsid w:val="002F5307"/>
    <w:rsid w:val="004579BD"/>
    <w:rsid w:val="00497297"/>
    <w:rsid w:val="004E1FC2"/>
    <w:rsid w:val="00521467"/>
    <w:rsid w:val="0058335C"/>
    <w:rsid w:val="00611893"/>
    <w:rsid w:val="00620A51"/>
    <w:rsid w:val="006A612D"/>
    <w:rsid w:val="00782A77"/>
    <w:rsid w:val="00790D6D"/>
    <w:rsid w:val="007D3670"/>
    <w:rsid w:val="0080595B"/>
    <w:rsid w:val="00822AA5"/>
    <w:rsid w:val="008757D3"/>
    <w:rsid w:val="008F276B"/>
    <w:rsid w:val="00922B21"/>
    <w:rsid w:val="009E673C"/>
    <w:rsid w:val="00A62D3C"/>
    <w:rsid w:val="00AB2091"/>
    <w:rsid w:val="00AF4F9B"/>
    <w:rsid w:val="00BE41F9"/>
    <w:rsid w:val="00C15E19"/>
    <w:rsid w:val="00CD35C0"/>
    <w:rsid w:val="00D358FE"/>
    <w:rsid w:val="00D429A4"/>
    <w:rsid w:val="00D54B3A"/>
    <w:rsid w:val="00D72966"/>
    <w:rsid w:val="00DB54C4"/>
    <w:rsid w:val="00DD0E4B"/>
    <w:rsid w:val="00E50BBB"/>
    <w:rsid w:val="00E60DC4"/>
    <w:rsid w:val="00F03265"/>
    <w:rsid w:val="00F03998"/>
    <w:rsid w:val="00F23B68"/>
    <w:rsid w:val="00F41609"/>
    <w:rsid w:val="00F50E07"/>
    <w:rsid w:val="00F9100E"/>
    <w:rsid w:val="00FA40E8"/>
    <w:rsid w:val="00FD1B7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basedOn w:val="a0"/>
    <w:uiPriority w:val="99"/>
    <w:semiHidden/>
    <w:unhideWhenUsed/>
    <w:rsid w:val="007D3670"/>
    <w:rPr>
      <w:rFonts w:ascii="Times New Roman" w:hAnsi="Times New Roman" w:cs="Times New Roman" w:hint="default"/>
      <w:color w:val="0000FF"/>
      <w:u w:val="single"/>
    </w:rPr>
  </w:style>
  <w:style w:type="paragraph" w:styleId="ad">
    <w:name w:val="No Spacing"/>
    <w:uiPriority w:val="1"/>
    <w:qFormat/>
    <w:rsid w:val="007D3670"/>
    <w:pPr>
      <w:bidi/>
    </w:pPr>
    <w:rPr>
      <w:rFonts w:ascii="Calibri" w:eastAsia="Calibri" w:hAnsi="Calibri" w:cs="Arial"/>
      <w:sz w:val="22"/>
      <w:szCs w:val="22"/>
    </w:rPr>
  </w:style>
  <w:style w:type="paragraph" w:styleId="ae">
    <w:name w:val="List Paragraph"/>
    <w:basedOn w:val="a"/>
    <w:uiPriority w:val="34"/>
    <w:qFormat/>
    <w:rsid w:val="007D3670"/>
    <w:pPr>
      <w:spacing w:line="360" w:lineRule="auto"/>
      <w:ind w:left="720"/>
      <w:contextualSpacing/>
      <w:jc w:val="both"/>
    </w:pPr>
    <w:rPr>
      <w:rFonts w:ascii="David" w:eastAsiaTheme="minorHAnsi"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817414">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25/25" TargetMode="External"/><Relationship Id="rId13" Type="http://schemas.openxmlformats.org/officeDocument/2006/relationships/hyperlink" Target="http://www.nevo.co.il/case/22294444" TargetMode="External"/><Relationship Id="rId18" Type="http://schemas.openxmlformats.org/officeDocument/2006/relationships/hyperlink" Target="http://www.nevo.co.il/case/17938124"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jpg"/><Relationship Id="rId7" Type="http://schemas.openxmlformats.org/officeDocument/2006/relationships/endnotes" Target="endnotes.xml"/><Relationship Id="rId12" Type="http://schemas.openxmlformats.org/officeDocument/2006/relationships/hyperlink" Target="http://www.nevo.co.il/case/6186143" TargetMode="External"/><Relationship Id="rId17" Type="http://schemas.openxmlformats.org/officeDocument/2006/relationships/hyperlink" Target="http://www.nevo.co.il/links/psika/?link=&#1491;&#1504;&#1488;%201892/1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evo.co.il/links/psika/?link=&#1489;&#1506;&#1502;%2027/07" TargetMode="External"/><Relationship Id="rId20" Type="http://schemas.openxmlformats.org/officeDocument/2006/relationships/hyperlink" Target="http://www.nevo.co.il/case/3799472"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25920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evo.co.il/links/psika/?link=&#1489;&#1506;&#1502;%205072/1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case/23610769" TargetMode="External"/><Relationship Id="rId19" Type="http://schemas.openxmlformats.org/officeDocument/2006/relationships/hyperlink" Target="http://www.nevo.co.il/case/28306664" TargetMode="External"/><Relationship Id="rId4" Type="http://schemas.openxmlformats.org/officeDocument/2006/relationships/settings" Target="settings.xml"/><Relationship Id="rId9" Type="http://schemas.openxmlformats.org/officeDocument/2006/relationships/hyperlink" Target="http://www.nevo.co.il/case/23536970" TargetMode="External"/><Relationship Id="rId14" Type="http://schemas.openxmlformats.org/officeDocument/2006/relationships/hyperlink" Target="http://www.nevo.co.il/case/26662960"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8174</Words>
  <Characters>40874</Characters>
  <Application>Microsoft Office Word</Application>
  <DocSecurity>0</DocSecurity>
  <Lines>340</Lines>
  <Paragraphs>97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2024-12-08T12:03:00Z</cp:lastPrinted>
  <dcterms:created xsi:type="dcterms:W3CDTF">2024-12-15T07:22:00Z</dcterms:created>
  <dcterms:modified xsi:type="dcterms:W3CDTF">2024-12-15T07:22:00Z</dcterms:modified>
</cp:coreProperties>
</file>